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矩形 0">
      <v:fill on="f" color2="#FFFFFF" focus="0%"/>
    </v:background>
  </w:background>
  <w:body>
    <w:p>
      <w:pPr>
        <w:widowControl w:val="0"/>
        <w:tabs>
          <w:tab w:val="right" w:pos="8306"/>
        </w:tabs>
        <w:wordWrap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市政协十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四</w:t>
      </w:r>
      <w:r>
        <w:rPr>
          <w:rFonts w:hint="eastAsia" w:ascii="宋体" w:hAnsi="宋体" w:eastAsia="宋体" w:cs="宋体"/>
          <w:sz w:val="44"/>
          <w:szCs w:val="44"/>
        </w:rPr>
        <w:t>届</w:t>
      </w:r>
      <w:r>
        <w:rPr>
          <w:rFonts w:hint="eastAsia" w:ascii="宋体" w:hAnsi="宋体" w:cs="宋体"/>
          <w:sz w:val="44"/>
          <w:szCs w:val="44"/>
          <w:lang w:eastAsia="zh-CN"/>
        </w:rPr>
        <w:t>一</w:t>
      </w:r>
      <w:r>
        <w:rPr>
          <w:rFonts w:hint="eastAsia" w:ascii="宋体" w:hAnsi="宋体" w:eastAsia="宋体" w:cs="宋体"/>
          <w:sz w:val="44"/>
          <w:szCs w:val="44"/>
        </w:rPr>
        <w:t>次会议</w:t>
      </w:r>
      <w:r>
        <w:rPr>
          <w:rFonts w:hint="eastAsia" w:ascii="宋体" w:hAnsi="宋体" w:cs="宋体"/>
          <w:sz w:val="44"/>
          <w:szCs w:val="44"/>
          <w:lang w:eastAsia="zh-CN"/>
        </w:rPr>
        <w:t>关于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推进公办养老机构发展方面</w:t>
      </w:r>
      <w:r>
        <w:rPr>
          <w:rFonts w:hint="eastAsia" w:ascii="宋体" w:hAnsi="宋体" w:eastAsia="宋体" w:cs="宋体"/>
          <w:sz w:val="44"/>
          <w:szCs w:val="44"/>
        </w:rPr>
        <w:t>的提案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1135</w:t>
      </w:r>
      <w:r>
        <w:rPr>
          <w:rFonts w:hint="eastAsia" w:ascii="宋体" w:hAnsi="宋体" w:eastAsia="宋体" w:cs="宋体"/>
          <w:sz w:val="44"/>
          <w:szCs w:val="44"/>
        </w:rPr>
        <w:t>号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）</w:t>
      </w:r>
    </w:p>
    <w:p>
      <w:pPr>
        <w:widowControl w:val="0"/>
        <w:tabs>
          <w:tab w:val="right" w:pos="8306"/>
        </w:tabs>
        <w:wordWrap/>
        <w:adjustRightInd/>
        <w:spacing w:line="56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办理情况的答复</w:t>
      </w:r>
      <w:r>
        <w:rPr>
          <w:rFonts w:hint="eastAsia" w:ascii="宋体" w:hAnsi="宋体" w:eastAsia="宋体" w:cs="宋体"/>
          <w:sz w:val="32"/>
          <w:szCs w:val="32"/>
        </w:rPr>
        <w:t xml:space="preserve"> </w:t>
      </w:r>
    </w:p>
    <w:p>
      <w:pPr>
        <w:pStyle w:val="4"/>
        <w:rPr>
          <w:rFonts w:hint="eastAsia" w:ascii="宋体" w:hAnsi="宋体" w:eastAsia="宋体" w:cs="宋体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杨杰委员：</w:t>
      </w:r>
    </w:p>
    <w:p>
      <w:pPr>
        <w:tabs>
          <w:tab w:val="right" w:pos="8306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您提出的《关于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推进公办养老机构发展方面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的提案》收悉。现答复如下：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FF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努力推动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公办养老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机构提质升级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目前，我们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争取6373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资金投资兴建了市第一社会福利院失能老人养护楼，占地1.59万平方米，总建筑面积1.55万平方米，设计床位350张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专门为失能、半失能老人提供康复、养护服务。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同时，该院还建立了市民政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并获卫健委审核通过为一级医院，医务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人员24小时为老人服务，每日查房一次询问老人的身体状况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做到了小病不出院就可得到医治，疑难病症及时通知家属并备有全套救护应急设备。院内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房存有老人日常所需的各种药品。每年为老人进行两次体检。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下一步，该院将通过推行标准化养老服务，不断提升服务质量，发挥公办养老机构的示范作用，引领各类养老机构更好地为山城老人服务。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持续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加强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养老护理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人才队伍建设。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我市依托人社部门、市福利协会对全市持续开展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养老护理员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培训，4年来累计培训护理员3000余人次，目前全市养老护理员达到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1391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名，专业技能培训率达到60%，持证上岗率达到45%，养老服务人才队伍有所发展。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积极配合人社部门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实施养老护理员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职业技能提升行动，不断提高养老服务标准化管理水平。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积极配合人社、教育部门</w:t>
      </w:r>
      <w:r>
        <w:rPr>
          <w:rFonts w:hint="eastAsia" w:ascii="仿宋_GB2312" w:hAnsi="仿宋_GB2312" w:eastAsia="仿宋_GB2312" w:cs="仿宋_GB2312"/>
          <w:sz w:val="32"/>
          <w:szCs w:val="32"/>
          <w:lang/>
        </w:rPr>
        <w:t>推动解决现有老年服务类职业教育缺项问题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/>
        </w:rPr>
        <w:t>多渠道扩大养老服务从业人员规模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/>
        </w:rPr>
        <w:t>鼓励高校和职业院校开设养老服务、养老护理、中医养生等相关专业。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积极配合卫健部门进一步深入推进医养结合工作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家各类养老机构与就近与医疗机构签约合作的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基础上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卫健部门也将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适当放宽养老机构内设医疗机构准入条件，加快审批流程，对于符合条件的可按规定纳入基本医疗保险范围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加强医疗机构适老服务能力建设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推进公立医疗机构向康复机构转型。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/>
        </w:rPr>
      </w:pPr>
    </w:p>
    <w:p>
      <w:pPr>
        <w:spacing w:line="24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本溪市民政局</w:t>
      </w:r>
    </w:p>
    <w:p>
      <w:pPr>
        <w:spacing w:line="240" w:lineRule="auto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paragraph" w:styleId="2">
    <w:name w:val="Body Text"/>
    <w:basedOn w:val="1"/>
    <w:qFormat/>
    <w:uiPriority w:val="0"/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607-2</cp:lastModifiedBy>
  <dcterms:modified xsi:type="dcterms:W3CDTF">2022-08-04T00:59:16Z</dcterms:modified>
  <dc:title>市政协十四届一次会议关于推进公办养老机构发展方面的提案（1135号）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0BEA0ABDEAC045CF9178E66139BD8E49</vt:lpwstr>
  </property>
</Properties>
</file>