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 w:val="0"/>
        <w:tabs>
          <w:tab w:val="right" w:pos="8306"/>
        </w:tabs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市政协十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sz w:val="44"/>
          <w:szCs w:val="44"/>
        </w:rPr>
        <w:t>届</w:t>
      </w:r>
      <w:r>
        <w:rPr>
          <w:rFonts w:hint="eastAsia" w:ascii="宋体" w:hAnsi="宋体" w:cs="宋体"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sz w:val="44"/>
          <w:szCs w:val="44"/>
        </w:rPr>
        <w:t>次会议</w:t>
      </w:r>
      <w:r>
        <w:rPr>
          <w:rFonts w:hint="eastAsia" w:ascii="宋体" w:hAnsi="宋体" w:cs="宋体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建立农村老年人服务体系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的提案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1152</w:t>
      </w:r>
      <w:r>
        <w:rPr>
          <w:rFonts w:hint="eastAsia" w:ascii="宋体" w:hAnsi="宋体" w:eastAsia="宋体" w:cs="宋体"/>
          <w:sz w:val="44"/>
          <w:szCs w:val="44"/>
        </w:rPr>
        <w:t>号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）</w:t>
      </w:r>
    </w:p>
    <w:p>
      <w:pPr>
        <w:widowControl w:val="0"/>
        <w:tabs>
          <w:tab w:val="right" w:pos="8306"/>
        </w:tabs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办理情况的答复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tabs>
          <w:tab w:val="right" w:pos="8306"/>
        </w:tabs>
        <w:rPr>
          <w:sz w:val="32"/>
          <w:szCs w:val="32"/>
        </w:rPr>
      </w:pPr>
    </w:p>
    <w:p>
      <w:pPr>
        <w:pStyle w:val="3"/>
        <w:widowControl w:val="0"/>
        <w:wordWrap/>
        <w:adjustRightInd/>
        <w:spacing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张静委员：</w:t>
      </w:r>
    </w:p>
    <w:p>
      <w:pPr>
        <w:widowControl w:val="0"/>
        <w:tabs>
          <w:tab w:val="right" w:pos="8306"/>
        </w:tabs>
        <w:wordWrap/>
        <w:adjustRightIn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建立农村老年人服务体系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的提案》收悉。现答复如下：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一、我市社会救助工作现状。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一是农村贫困老年人情况。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目前，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本溪市特困人员救助供养实施办法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本政发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2017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我市已将符合低保、特困条件的农村贫困老年人纳入社会救助体系。目前，保障农村60岁及以上低保及低保边缘老人9813人，农村特困老人3691人。二是加强了实名制管理。我市建立了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最低生活保障救助信息系统，涵盖了低保、特困、低保边缘户等8个保障类型，全部实行实名制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三是加强动态监测为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进一步强化低收入人口动态监测，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印发了《关于加强社会救助信息共享 健全低收入人口动态监测机制的通知》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。四是加强农村老年人意外伤害保障。2022年，我市投入19.97万元为特困老人缴纳了意外伤害保险。五是开展“三留守”人员关爱服务。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针对农村地区生活贫困的老年人实际需求，项目组自筹资金35万元，为其提供居家安全改造和每年12次入户陪伴。截止到7月31日，受益老人达到24人。六是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社会工作和社会救助服务站项目。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溪湖区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试点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在资金很紧张的情况下，拨付15万元支持溪湖区5个街道建设社会工作（志愿）服务站，招用驻站社工16名，主要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围绕社会救助、养老服务、儿童福利、社区治理、社会事务五大领域开展工作。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社工站自正式挂牌服务以来，核查社会救助598人；入户排查和探访社会救助家庭110人次；核查特困人员29人；开展慈善捐助15人，救助流浪乞讨人员2人；救助助餐3次；开展各类业务培训5次；组织150名志愿者开展了疫情防控等社会公益活动，募集款物合计77万元，为360人提供帮扶。</w:t>
      </w:r>
    </w:p>
    <w:p>
      <w:pPr>
        <w:widowControl w:val="0"/>
        <w:wordWrap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下一步，我市将在7月开始再次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提高农村特困人员救助供养标准；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持续推进乡镇（街道）社工站建设，年底实现全覆盖；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全面建立农村留守老年人关爱服务工作机制和基本制度，初步形成关爱服务体系，基本解决农村老年人吃饭、就医、救急、精神慰藉等问题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健全完善定期巡访独居、空巢、留守老年人工作机制，积极防范和及时发现意外风险，稳步推进农村留守老年人关爱体系建设，鼓励社会组织、志愿服务队伍等积极参与“一帮一”关爱对接，为农村独居、空巢等老年人提供帮助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3"/>
        <w:widowControl w:val="0"/>
        <w:wordWrap/>
        <w:adjustRightIn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加大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特困人员供养服务机构（主要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为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农村敬老院）整合改造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提升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已有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农村区域性敬老院15家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农村常年病人托管中心3家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农村幸福院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36家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下一步，我们将着力推动养老机构投融资、土地供应、自主定价和税费优惠、资金支持、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用水用电用气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用热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价格、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人才培养和就业支持等各项扶持政策的落实，鼓励社会力量在农村创办养老服务机构；提升农村公办养老机构服务质量，在兜底保障贫困老人的同时，向社会开放床位，充分发挥农村养老机构的集中供养作用。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三、加强村级医疗机构建设。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据市卫健委协办意见，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2021年底，我市共有287村级卫生室，均能开展村级诊疗活动，为老年人建立健康档案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能够为老年人上门提供基本医疗和基本公共卫生服务。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目前，全市建设农村幸福院或农村社区养老服务中心（站）275个，养老服务设施覆盖率约为95.5%，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这些场所和设施为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农村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老年人的日常活动、休闲娱乐提供了便利。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根据上级部门统一部署，我市所有救助帮扶热线电话统一到12345平台。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我们将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加强农村社区综合服务能力建设，综合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/>
        </w:rPr>
        <w:t>农村敬老院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  <w:t>、老年食堂、村卫生室、老年活动中心设施功能，提高设施利用率。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/>
        </w:rPr>
      </w:pPr>
    </w:p>
    <w:p>
      <w:pPr>
        <w:spacing w:line="240" w:lineRule="auto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本溪市民政局</w:t>
      </w:r>
    </w:p>
    <w:p>
      <w:pPr>
        <w:spacing w:line="24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FFFFFF" fill="t" stroke="t">
      <v:fill type="gradient" on="t" color2="#FFFFFF" angle="-9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607-2</cp:lastModifiedBy>
  <dcterms:modified xsi:type="dcterms:W3CDTF">2022-08-04T00:58:56Z</dcterms:modified>
  <dc:title>本溪市民政局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A9B7D437CEA6476B90875AE3E5222480</vt:lpwstr>
  </property>
</Properties>
</file>