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tabs>
          <w:tab w:val="right" w:pos="8306"/>
        </w:tabs>
        <w:jc w:val="center"/>
        <w:rPr>
          <w:rFonts w:ascii="仿宋_GB2312" w:eastAsia="仿宋_GB2312"/>
          <w:sz w:val="32"/>
          <w:szCs w:val="32"/>
        </w:rPr>
      </w:pPr>
      <w:r>
        <w:rPr>
          <w:rFonts w:ascii="Calibri" w:hAnsi="Calibri" w:eastAsia="宋体" w:cs="Times New Roman"/>
          <w:kern w:val="2"/>
          <w:sz w:val="21"/>
          <w:szCs w:val="22"/>
          <w:lang w:val="en-US" w:eastAsia="zh-CN" w:bidi="ar-SA"/>
        </w:rPr>
        <w:pict>
          <v:shape id="_x0000_s1028"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sz w:val="32"/>
          <w:szCs w:val="32"/>
        </w:rPr>
        <w:t xml:space="preserve">                                           </w:t>
      </w:r>
    </w:p>
    <w:p>
      <w:pPr>
        <w:tabs>
          <w:tab w:val="right" w:pos="8306"/>
        </w:tabs>
        <w:jc w:val="center"/>
        <w:rPr>
          <w:rFonts w:ascii="仿宋_GB2312" w:eastAsia="仿宋_GB2312"/>
          <w:sz w:val="32"/>
          <w:szCs w:val="32"/>
        </w:rPr>
      </w:pPr>
      <w:r>
        <w:rPr>
          <w:rFonts w:hint="eastAsia" w:ascii="仿宋_GB2312" w:eastAsia="仿宋_GB2312"/>
          <w:sz w:val="32"/>
          <w:szCs w:val="32"/>
        </w:rPr>
        <w:t xml:space="preserve">                                           （A1类）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8" type="#_x0000_t32" style="position:absolute;left:0;margin-left:94.5pt;margin-top:20.85pt;height:0.05pt;width:0.05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号</w:t>
      </w:r>
    </w:p>
    <w:p>
      <w:pPr>
        <w:tabs>
          <w:tab w:val="right" w:pos="8306"/>
        </w:tabs>
        <w:rPr>
          <w:rFonts w:ascii="仿宋_GB2312" w:eastAsia="仿宋_GB2312" w:cs="仿宋_GB2312"/>
          <w:sz w:val="32"/>
          <w:szCs w:val="32"/>
        </w:rPr>
      </w:pPr>
    </w:p>
    <w:p>
      <w:pPr>
        <w:tabs>
          <w:tab w:val="right" w:pos="8306"/>
        </w:tabs>
        <w:rPr>
          <w:rFonts w:ascii="仿宋_GB2312" w:eastAsia="仿宋_GB2312" w:cs="仿宋_GB2312"/>
          <w:sz w:val="32"/>
          <w:szCs w:val="32"/>
        </w:rPr>
      </w:pPr>
    </w:p>
    <w:p>
      <w:pPr>
        <w:tabs>
          <w:tab w:val="right" w:pos="8306"/>
        </w:tabs>
        <w:spacing w:line="640" w:lineRule="exact"/>
        <w:jc w:val="center"/>
        <w:rPr>
          <w:rFonts w:ascii="宋体" w:hAnsi="宋体" w:cs="宋体"/>
          <w:b/>
          <w:bCs/>
          <w:sz w:val="44"/>
          <w:szCs w:val="44"/>
        </w:rPr>
      </w:pPr>
      <w:r>
        <w:rPr>
          <w:rFonts w:hint="eastAsia" w:ascii="宋体" w:hAnsi="宋体" w:cs="宋体"/>
          <w:b/>
          <w:bCs/>
          <w:sz w:val="44"/>
          <w:szCs w:val="44"/>
        </w:rPr>
        <w:t>关于对政协本溪市第十三届委员会第四次会议第4014号提案办理情况的答复</w:t>
      </w:r>
    </w:p>
    <w:p>
      <w:pPr>
        <w:spacing w:line="240" w:lineRule="auto"/>
        <w:rPr>
          <w:rFonts w:ascii="仿宋_GB2312" w:hAnsi="仿宋" w:eastAsia="仿宋_GB2312"/>
          <w:sz w:val="32"/>
          <w:szCs w:val="32"/>
        </w:rPr>
      </w:pPr>
      <w:bookmarkStart w:id="0" w:name="_GoBack"/>
      <w:bookmarkEnd w:id="0"/>
    </w:p>
    <w:p>
      <w:pPr>
        <w:spacing w:line="240" w:lineRule="auto"/>
        <w:rPr>
          <w:rFonts w:ascii="仿宋_GB2312" w:hAnsi="仿宋" w:eastAsia="仿宋_GB2312"/>
          <w:sz w:val="32"/>
          <w:szCs w:val="32"/>
        </w:rPr>
      </w:pPr>
      <w:r>
        <w:rPr>
          <w:rFonts w:hint="eastAsia" w:ascii="仿宋_GB2312" w:hAnsi="仿宋" w:eastAsia="仿宋_GB2312"/>
          <w:sz w:val="32"/>
          <w:szCs w:val="32"/>
        </w:rPr>
        <w:t>民盟本溪市委代表：</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w:t>
      </w:r>
      <w:r>
        <w:rPr>
          <w:rFonts w:ascii="仿宋_GB2312" w:hAnsi="仿宋_GB2312" w:eastAsia="仿宋_GB2312"/>
          <w:color w:val="000000"/>
          <w:sz w:val="32"/>
          <w:szCs w:val="32"/>
        </w:rPr>
        <w:t>关于</w:t>
      </w:r>
      <w:r>
        <w:rPr>
          <w:rFonts w:hint="eastAsia" w:ascii="仿宋_GB2312" w:hAnsi="仿宋_GB2312" w:eastAsia="仿宋_GB2312"/>
          <w:color w:val="000000"/>
          <w:sz w:val="32"/>
          <w:szCs w:val="32"/>
        </w:rPr>
        <w:t>充分发挥我市生态资源优势加快文旅康养产业发展的提案</w:t>
      </w:r>
      <w:r>
        <w:rPr>
          <w:rFonts w:hint="eastAsia" w:ascii="仿宋" w:hAnsi="仿宋" w:eastAsia="仿宋" w:cs="仿宋"/>
          <w:bCs/>
          <w:sz w:val="32"/>
          <w:szCs w:val="32"/>
        </w:rPr>
        <w:t>”收悉，现就建议中有关民政工作内容答复如下：</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近年来，为全面推进居家和社区养老服务发展，我市建立了由党、政、群、企等40个部门组成的本溪市发展养老服务业工作领导小组，领导小组负责全面推进我市养老服务的发展，同时先后印发了《本溪市人民政府关于印发本溪市加快发展养老服务业实施方案的通知》、《本溪市政府医养结合实施方案》、《关于本溪市全面放开养老服务市场提升养老服务质量的实施意见》构建起了比较完善的政策支持体系。</w:t>
      </w:r>
    </w:p>
    <w:p>
      <w:pPr>
        <w:widowControl/>
        <w:adjustRightInd w:val="0"/>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为支持民办养老机构发展，我市按实际入住人数，对民办养老机构给予每人每月补贴140元的运营补贴；对养老机构责任保险费给予每张床位每年80元的财政补贴；另外养老机构用水用电用气享受按居民缴费标准执行的政策。上述政策，有效促进了民办养老机构的较快发展。</w:t>
      </w:r>
    </w:p>
    <w:p>
      <w:pPr>
        <w:widowControl/>
        <w:adjustRightInd w:val="0"/>
        <w:spacing w:line="240" w:lineRule="auto"/>
        <w:ind w:firstLine="720" w:firstLineChars="225"/>
        <w:rPr>
          <w:rFonts w:ascii="仿宋" w:hAnsi="仿宋" w:eastAsia="仿宋" w:cs="仿宋"/>
          <w:bCs/>
          <w:sz w:val="32"/>
          <w:szCs w:val="32"/>
        </w:rPr>
      </w:pPr>
      <w:r>
        <w:rPr>
          <w:rFonts w:hint="eastAsia" w:ascii="仿宋" w:hAnsi="仿宋" w:eastAsia="仿宋" w:cs="仿宋"/>
          <w:kern w:val="0"/>
          <w:sz w:val="32"/>
          <w:szCs w:val="32"/>
        </w:rPr>
        <w:t>但目前，供热及天然气使用价格优惠政策还未全面落实，土地使用、投融资政策等方面还是空白。同时，受地方财力不足影响，政府投入养老事业的引导性资金不足。</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下一步，我市将进一步完善养老服务业的组织领导机制，使其切实发挥作用。着眼于协调相关部门落实养老服务机构安装电话、有线（数字）电视、宽带互联网享受居民缴费的政策。按照市相关部门的总体规划重点关注我市与康养产业相关的项目建设。着力落实相关政策，积极推动相关产业发展。</w:t>
      </w:r>
    </w:p>
    <w:p>
      <w:pPr>
        <w:spacing w:line="240" w:lineRule="auto"/>
        <w:rPr>
          <w:rFonts w:ascii="黑体" w:hAnsi="黑体" w:eastAsia="黑体" w:cs="黑体"/>
          <w:bCs/>
          <w:sz w:val="32"/>
          <w:szCs w:val="32"/>
        </w:rPr>
      </w:pPr>
      <w:r>
        <w:rPr>
          <w:rFonts w:hint="eastAsia" w:ascii="黑体" w:hAnsi="黑体" w:eastAsia="黑体" w:cs="黑体"/>
          <w:bCs/>
          <w:sz w:val="32"/>
          <w:szCs w:val="32"/>
        </w:rPr>
        <w:t xml:space="preserve">  </w:t>
      </w:r>
    </w:p>
    <w:p>
      <w:pPr>
        <w:spacing w:line="240" w:lineRule="auto"/>
        <w:ind w:firstLine="320" w:firstLineChars="100"/>
        <w:rPr>
          <w:rFonts w:ascii="楷体" w:hAnsi="楷体" w:eastAsia="楷体" w:cs="楷体"/>
          <w:bCs/>
          <w:sz w:val="32"/>
          <w:szCs w:val="32"/>
        </w:rPr>
      </w:pPr>
    </w:p>
    <w:p>
      <w:pPr>
        <w:spacing w:line="240" w:lineRule="auto"/>
        <w:ind w:firstLine="5760" w:firstLineChars="1800"/>
        <w:rPr>
          <w:rFonts w:ascii="仿宋" w:hAnsi="仿宋" w:eastAsia="仿宋" w:cs="仿宋"/>
          <w:sz w:val="32"/>
          <w:szCs w:val="32"/>
        </w:rPr>
      </w:pPr>
      <w:r>
        <w:rPr>
          <w:rFonts w:hint="eastAsia" w:ascii="仿宋" w:hAnsi="仿宋" w:eastAsia="仿宋" w:cs="仿宋"/>
          <w:sz w:val="32"/>
          <w:szCs w:val="32"/>
        </w:rPr>
        <w:t>本溪市民政局</w:t>
      </w:r>
    </w:p>
    <w:p>
      <w:pPr>
        <w:spacing w:line="240" w:lineRule="auto"/>
        <w:rPr>
          <w:rFonts w:ascii="仿宋" w:hAnsi="仿宋" w:eastAsia="仿宋" w:cs="仿宋"/>
          <w:sz w:val="32"/>
          <w:szCs w:val="32"/>
        </w:rPr>
      </w:pPr>
      <w:r>
        <w:rPr>
          <w:rFonts w:hint="eastAsia" w:ascii="仿宋" w:hAnsi="仿宋" w:eastAsia="仿宋" w:cs="仿宋"/>
          <w:sz w:val="32"/>
          <w:szCs w:val="32"/>
        </w:rPr>
        <w:t xml:space="preserve">                                   2021年3月 日</w:t>
      </w:r>
    </w:p>
    <w:p>
      <w:pPr>
        <w:spacing w:line="240" w:lineRule="auto"/>
        <w:rPr>
          <w:rFonts w:ascii="仿宋" w:hAnsi="仿宋" w:eastAsia="仿宋" w:cs="仿宋"/>
          <w:sz w:val="32"/>
          <w:szCs w:val="32"/>
        </w:rPr>
      </w:pPr>
    </w:p>
    <w:p>
      <w:pPr>
        <w:spacing w:line="240" w:lineRule="auto"/>
        <w:rPr>
          <w:rFonts w:ascii="仿宋" w:hAnsi="仿宋" w:eastAsia="仿宋" w:cs="仿宋"/>
          <w:sz w:val="32"/>
          <w:szCs w:val="32"/>
        </w:rPr>
      </w:pPr>
    </w:p>
    <w:p>
      <w:pPr>
        <w:spacing w:line="240" w:lineRule="auto"/>
        <w:rPr>
          <w:rFonts w:ascii="仿宋" w:hAnsi="仿宋" w:eastAsia="仿宋" w:cs="仿宋"/>
          <w:sz w:val="32"/>
          <w:szCs w:val="32"/>
        </w:rPr>
      </w:pP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联系人及电话：段新宇，43841728</w:t>
      </w:r>
    </w:p>
    <w:p>
      <w:pPr>
        <w:tabs>
          <w:tab w:val="right" w:pos="8306"/>
        </w:tabs>
        <w:spacing w:line="240" w:lineRule="auto"/>
        <w:jc w:val="left"/>
      </w:pPr>
      <w:r>
        <w:rPr>
          <w:rFonts w:hint="eastAsia" w:ascii="仿宋_GB2312" w:eastAsia="仿宋_GB2312"/>
          <w:sz w:val="28"/>
          <w:szCs w:val="28"/>
        </w:rPr>
        <w:t>抄送：</w:t>
      </w:r>
      <w:r>
        <w:rPr>
          <w:rFonts w:hint="eastAsia" w:ascii="仿宋_GB2312" w:hAnsi="仿宋_GB2312" w:eastAsia="仿宋_GB2312" w:cs="仿宋_GB2312"/>
          <w:sz w:val="28"/>
          <w:szCs w:val="28"/>
        </w:rPr>
        <w:t>市政协提案委员会</w:t>
      </w:r>
      <w:r>
        <w:rPr>
          <w:rFonts w:hint="eastAsia" w:ascii="仿宋_GB2312" w:eastAsia="仿宋_GB2312"/>
          <w:sz w:val="28"/>
          <w:szCs w:val="28"/>
        </w:rPr>
        <w:t>，市政府办公室（各共同主办或协办单位）。</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kern w:val="2"/>
      <w:sz w:val="18"/>
      <w:szCs w:val="18"/>
    </w:rPr>
  </w:style>
  <w:style w:type="character" w:customStyle="1" w:styleId="6">
    <w:name w:val="页脚 Char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727</Characters>
  <Lines>6</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2021-02-02T01:11:00Z</dcterms:created>
  <dc:creator>Administrator</dc:creator>
  <cp:lastModifiedBy>Administrator</cp:lastModifiedBy>
  <dcterms:modified xsi:type="dcterms:W3CDTF">2021-04-07T01:06:33Z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