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sz w:val="44"/>
          <w:szCs w:val="44"/>
        </w:rPr>
      </w:pPr>
      <w:bookmarkStart w:id="0" w:name="_GoBack"/>
      <w:bookmarkEnd w:id="0"/>
      <w:r>
        <w:rPr>
          <w:rFonts w:hint="eastAsia" w:ascii="宋体" w:hAnsi="宋体"/>
          <w:sz w:val="44"/>
          <w:szCs w:val="44"/>
        </w:rPr>
        <w:t>2023年度涉企行政执法检查计划表</w:t>
      </w:r>
    </w:p>
    <w:p>
      <w:pPr>
        <w:jc w:val="center"/>
        <w:rPr>
          <w:rFonts w:hint="eastAsia" w:ascii="宋体" w:hAnsi="宋体"/>
          <w:sz w:val="44"/>
          <w:szCs w:val="4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980"/>
        <w:gridCol w:w="1800"/>
        <w:gridCol w:w="2340"/>
        <w:gridCol w:w="4320"/>
        <w:gridCol w:w="1440"/>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28" w:type="dxa"/>
            <w:noWrap w:val="0"/>
            <w:vAlign w:val="top"/>
          </w:tcPr>
          <w:p>
            <w:pPr>
              <w:jc w:val="center"/>
              <w:rPr>
                <w:rFonts w:hint="eastAsia" w:ascii="仿宋_GB2312" w:hAnsi="Calibri" w:eastAsia="仿宋_GB2312"/>
                <w:b/>
                <w:sz w:val="28"/>
                <w:szCs w:val="28"/>
              </w:rPr>
            </w:pPr>
            <w:r>
              <w:rPr>
                <w:rFonts w:hint="eastAsia" w:ascii="仿宋_GB2312" w:hAnsi="Calibri" w:eastAsia="仿宋_GB2312"/>
                <w:b/>
                <w:sz w:val="28"/>
                <w:szCs w:val="28"/>
              </w:rPr>
              <w:t>序号</w:t>
            </w:r>
          </w:p>
        </w:tc>
        <w:tc>
          <w:tcPr>
            <w:tcW w:w="1980" w:type="dxa"/>
            <w:noWrap w:val="0"/>
            <w:vAlign w:val="top"/>
          </w:tcPr>
          <w:p>
            <w:pPr>
              <w:jc w:val="center"/>
              <w:rPr>
                <w:rFonts w:hint="eastAsia" w:ascii="仿宋_GB2312" w:hAnsi="Calibri" w:eastAsia="仿宋_GB2312"/>
                <w:b/>
                <w:sz w:val="28"/>
                <w:szCs w:val="28"/>
              </w:rPr>
            </w:pPr>
            <w:r>
              <w:rPr>
                <w:rFonts w:hint="eastAsia" w:ascii="仿宋_GB2312" w:hAnsi="Calibri" w:eastAsia="仿宋_GB2312"/>
                <w:b/>
                <w:sz w:val="28"/>
                <w:szCs w:val="28"/>
              </w:rPr>
              <w:t>行政执法机关</w:t>
            </w:r>
          </w:p>
        </w:tc>
        <w:tc>
          <w:tcPr>
            <w:tcW w:w="1800" w:type="dxa"/>
            <w:noWrap w:val="0"/>
            <w:vAlign w:val="top"/>
          </w:tcPr>
          <w:p>
            <w:pPr>
              <w:jc w:val="center"/>
              <w:rPr>
                <w:rFonts w:hint="eastAsia" w:ascii="仿宋_GB2312" w:hAnsi="Calibri" w:eastAsia="仿宋_GB2312"/>
                <w:b/>
                <w:sz w:val="28"/>
                <w:szCs w:val="28"/>
              </w:rPr>
            </w:pPr>
            <w:r>
              <w:rPr>
                <w:rFonts w:hint="eastAsia" w:ascii="仿宋_GB2312" w:hAnsi="Calibri" w:eastAsia="仿宋_GB2312"/>
                <w:b/>
                <w:sz w:val="28"/>
                <w:szCs w:val="28"/>
              </w:rPr>
              <w:t>检查对象</w:t>
            </w:r>
          </w:p>
        </w:tc>
        <w:tc>
          <w:tcPr>
            <w:tcW w:w="2340" w:type="dxa"/>
            <w:noWrap w:val="0"/>
            <w:vAlign w:val="top"/>
          </w:tcPr>
          <w:p>
            <w:pPr>
              <w:jc w:val="center"/>
              <w:rPr>
                <w:rFonts w:hint="eastAsia" w:ascii="仿宋_GB2312" w:hAnsi="Calibri" w:eastAsia="仿宋_GB2312"/>
                <w:b/>
                <w:sz w:val="28"/>
                <w:szCs w:val="28"/>
              </w:rPr>
            </w:pPr>
            <w:r>
              <w:rPr>
                <w:rFonts w:hint="eastAsia" w:ascii="仿宋_GB2312" w:hAnsi="Calibri" w:eastAsia="仿宋_GB2312"/>
                <w:b/>
                <w:sz w:val="28"/>
                <w:szCs w:val="28"/>
              </w:rPr>
              <w:t>检查内容</w:t>
            </w:r>
          </w:p>
        </w:tc>
        <w:tc>
          <w:tcPr>
            <w:tcW w:w="4320" w:type="dxa"/>
            <w:noWrap w:val="0"/>
            <w:vAlign w:val="top"/>
          </w:tcPr>
          <w:p>
            <w:pPr>
              <w:jc w:val="center"/>
              <w:rPr>
                <w:rFonts w:hint="eastAsia" w:ascii="仿宋_GB2312" w:hAnsi="Calibri" w:eastAsia="仿宋_GB2312"/>
                <w:b/>
                <w:sz w:val="28"/>
                <w:szCs w:val="28"/>
              </w:rPr>
            </w:pPr>
            <w:r>
              <w:rPr>
                <w:rFonts w:hint="eastAsia" w:ascii="仿宋_GB2312" w:hAnsi="Calibri" w:eastAsia="仿宋_GB2312"/>
                <w:b/>
                <w:sz w:val="28"/>
                <w:szCs w:val="28"/>
              </w:rPr>
              <w:t>检查依据</w:t>
            </w:r>
          </w:p>
        </w:tc>
        <w:tc>
          <w:tcPr>
            <w:tcW w:w="1440" w:type="dxa"/>
            <w:noWrap w:val="0"/>
            <w:vAlign w:val="top"/>
          </w:tcPr>
          <w:p>
            <w:pPr>
              <w:jc w:val="center"/>
              <w:rPr>
                <w:rFonts w:hint="eastAsia" w:ascii="仿宋_GB2312" w:hAnsi="Calibri" w:eastAsia="仿宋_GB2312"/>
                <w:b/>
                <w:sz w:val="28"/>
                <w:szCs w:val="28"/>
              </w:rPr>
            </w:pPr>
            <w:r>
              <w:rPr>
                <w:rFonts w:hint="eastAsia" w:ascii="仿宋_GB2312" w:hAnsi="Calibri" w:eastAsia="仿宋_GB2312"/>
                <w:b/>
                <w:sz w:val="28"/>
                <w:szCs w:val="28"/>
              </w:rPr>
              <w:t>检查时间</w:t>
            </w:r>
          </w:p>
        </w:tc>
        <w:tc>
          <w:tcPr>
            <w:tcW w:w="1466" w:type="dxa"/>
            <w:noWrap w:val="0"/>
            <w:vAlign w:val="top"/>
          </w:tcPr>
          <w:p>
            <w:pPr>
              <w:jc w:val="center"/>
              <w:rPr>
                <w:rFonts w:hint="eastAsia" w:ascii="仿宋_GB2312" w:hAnsi="Calibri" w:eastAsia="仿宋_GB2312"/>
                <w:b/>
                <w:sz w:val="28"/>
                <w:szCs w:val="28"/>
              </w:rPr>
            </w:pPr>
            <w:r>
              <w:rPr>
                <w:rFonts w:hint="eastAsia" w:ascii="仿宋_GB2312" w:hAnsi="Calibri" w:eastAsia="仿宋_GB2312"/>
                <w:b/>
                <w:sz w:val="28"/>
                <w:szCs w:val="28"/>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92" w:hRule="atLeast"/>
        </w:trPr>
        <w:tc>
          <w:tcPr>
            <w:tcW w:w="828" w:type="dxa"/>
            <w:noWrap w:val="0"/>
            <w:vAlign w:val="center"/>
          </w:tcPr>
          <w:p>
            <w:pPr>
              <w:spacing w:line="260" w:lineRule="exact"/>
              <w:jc w:val="center"/>
              <w:rPr>
                <w:rFonts w:hint="eastAsia" w:ascii="仿宋_GB2312" w:eastAsia="仿宋_GB2312"/>
                <w:sz w:val="18"/>
                <w:szCs w:val="18"/>
              </w:rPr>
            </w:pPr>
            <w:r>
              <w:rPr>
                <w:rFonts w:hint="eastAsia" w:ascii="仿宋_GB2312" w:eastAsia="仿宋_GB2312"/>
                <w:sz w:val="18"/>
                <w:szCs w:val="18"/>
              </w:rPr>
              <w:t>1</w:t>
            </w:r>
          </w:p>
        </w:tc>
        <w:tc>
          <w:tcPr>
            <w:tcW w:w="1980" w:type="dxa"/>
            <w:noWrap w:val="0"/>
            <w:vAlign w:val="center"/>
          </w:tcPr>
          <w:p>
            <w:pPr>
              <w:spacing w:line="260" w:lineRule="exact"/>
              <w:jc w:val="center"/>
              <w:rPr>
                <w:rFonts w:hint="eastAsia" w:ascii="仿宋_GB2312" w:eastAsia="仿宋_GB2312"/>
                <w:sz w:val="18"/>
                <w:szCs w:val="18"/>
              </w:rPr>
            </w:pPr>
            <w:r>
              <w:rPr>
                <w:rFonts w:hint="eastAsia" w:ascii="仿宋_GB2312" w:eastAsia="仿宋_GB2312"/>
                <w:sz w:val="18"/>
                <w:szCs w:val="18"/>
              </w:rPr>
              <w:t>本溪市商务局</w:t>
            </w:r>
          </w:p>
        </w:tc>
        <w:tc>
          <w:tcPr>
            <w:tcW w:w="1800" w:type="dxa"/>
            <w:noWrap w:val="0"/>
            <w:vAlign w:val="center"/>
          </w:tcPr>
          <w:p>
            <w:pPr>
              <w:spacing w:line="260" w:lineRule="exact"/>
              <w:rPr>
                <w:rFonts w:hint="eastAsia" w:ascii="仿宋_GB2312" w:eastAsia="仿宋_GB2312"/>
                <w:sz w:val="18"/>
                <w:szCs w:val="18"/>
              </w:rPr>
            </w:pPr>
            <w:r>
              <w:rPr>
                <w:rFonts w:hint="eastAsia" w:ascii="仿宋_GB2312" w:eastAsia="仿宋_GB2312"/>
                <w:sz w:val="18"/>
                <w:szCs w:val="18"/>
              </w:rPr>
              <w:t>从6家拍卖企业中按照17%的比例随机抽取1家</w:t>
            </w:r>
          </w:p>
        </w:tc>
        <w:tc>
          <w:tcPr>
            <w:tcW w:w="2340" w:type="dxa"/>
            <w:noWrap w:val="0"/>
            <w:vAlign w:val="center"/>
          </w:tcPr>
          <w:p>
            <w:pPr>
              <w:spacing w:line="260" w:lineRule="exact"/>
              <w:rPr>
                <w:rFonts w:hint="eastAsia" w:ascii="仿宋_GB2312" w:eastAsia="仿宋_GB2312"/>
                <w:sz w:val="18"/>
                <w:szCs w:val="18"/>
              </w:rPr>
            </w:pPr>
            <w:r>
              <w:rPr>
                <w:rFonts w:hint="eastAsia" w:ascii="仿宋_GB2312" w:eastAsia="仿宋_GB2312"/>
                <w:sz w:val="18"/>
                <w:szCs w:val="18"/>
              </w:rPr>
              <w:t>对拍卖企业经营情况进行监督检查</w:t>
            </w:r>
          </w:p>
        </w:tc>
        <w:tc>
          <w:tcPr>
            <w:tcW w:w="4320" w:type="dxa"/>
            <w:noWrap w:val="0"/>
            <w:vAlign w:val="center"/>
          </w:tcPr>
          <w:p>
            <w:pPr>
              <w:spacing w:line="260" w:lineRule="exact"/>
              <w:rPr>
                <w:rFonts w:hint="eastAsia" w:ascii="仿宋_GB2312" w:eastAsia="仿宋_GB2312"/>
                <w:sz w:val="18"/>
                <w:szCs w:val="18"/>
              </w:rPr>
            </w:pPr>
            <w:r>
              <w:rPr>
                <w:rFonts w:hint="eastAsia" w:ascii="仿宋_GB2312" w:eastAsia="仿宋_GB2312"/>
                <w:sz w:val="18"/>
                <w:szCs w:val="18"/>
              </w:rPr>
              <w:t>《拍卖管理办法》（商务部令2004年第24号 根据2015年10月28日商务部令2015年第2号《商务部关于修改部分规章和规范性文件的决定》第一次修正 根据2019年11月30日商务部令2019年第1号《商务部关于废止和修改部分规章的决定》第二次修正）第四条 商务部是拍卖行业主管部门，对全国拍卖业实施监督管理。省、自治区、直辖市人民政府（以下简称省级）和设区的市人民政府（以下简称市级）商务主管部门对本行政区域内的拍卖业实施监督管理。</w:t>
            </w:r>
          </w:p>
        </w:tc>
        <w:tc>
          <w:tcPr>
            <w:tcW w:w="1440" w:type="dxa"/>
            <w:noWrap w:val="0"/>
            <w:vAlign w:val="center"/>
          </w:tcPr>
          <w:p>
            <w:pPr>
              <w:spacing w:line="260" w:lineRule="exact"/>
              <w:rPr>
                <w:rFonts w:hint="eastAsia" w:ascii="仿宋_GB2312" w:eastAsia="仿宋_GB2312"/>
                <w:sz w:val="18"/>
                <w:szCs w:val="18"/>
              </w:rPr>
            </w:pPr>
            <w:r>
              <w:rPr>
                <w:rFonts w:hint="eastAsia" w:ascii="仿宋_GB2312" w:eastAsia="仿宋_GB2312"/>
                <w:sz w:val="18"/>
                <w:szCs w:val="18"/>
              </w:rPr>
              <w:t>2023年10月检查1家</w:t>
            </w:r>
          </w:p>
        </w:tc>
        <w:tc>
          <w:tcPr>
            <w:tcW w:w="1466" w:type="dxa"/>
            <w:noWrap w:val="0"/>
            <w:vAlign w:val="center"/>
          </w:tcPr>
          <w:p>
            <w:pPr>
              <w:spacing w:line="260" w:lineRule="exact"/>
              <w:jc w:val="center"/>
              <w:rPr>
                <w:rFonts w:hint="eastAsia" w:ascii="仿宋_GB2312" w:eastAsia="仿宋_GB2312"/>
                <w:sz w:val="18"/>
                <w:szCs w:val="18"/>
              </w:rPr>
            </w:pPr>
            <w:r>
              <w:rPr>
                <w:rFonts w:hint="eastAsia" w:ascii="仿宋_GB2312" w:eastAsia="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08" w:hRule="atLeast"/>
        </w:trPr>
        <w:tc>
          <w:tcPr>
            <w:tcW w:w="82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2</w:t>
            </w:r>
          </w:p>
        </w:tc>
        <w:tc>
          <w:tcPr>
            <w:tcW w:w="1980" w:type="dxa"/>
            <w:noWrap w:val="0"/>
            <w:vAlign w:val="center"/>
          </w:tcPr>
          <w:p>
            <w:pPr>
              <w:spacing w:line="260" w:lineRule="exact"/>
              <w:jc w:val="center"/>
              <w:rPr>
                <w:rFonts w:hint="eastAsia" w:ascii="仿宋_GB2312" w:eastAsia="仿宋_GB2312"/>
                <w:sz w:val="18"/>
                <w:szCs w:val="18"/>
              </w:rPr>
            </w:pPr>
            <w:r>
              <w:rPr>
                <w:rFonts w:hint="eastAsia" w:ascii="仿宋_GB2312" w:hAnsi="Calibri" w:eastAsia="仿宋_GB2312"/>
                <w:sz w:val="18"/>
                <w:szCs w:val="18"/>
              </w:rPr>
              <w:t>本溪市商务局</w:t>
            </w:r>
          </w:p>
        </w:tc>
        <w:tc>
          <w:tcPr>
            <w:tcW w:w="1800" w:type="dxa"/>
            <w:noWrap w:val="0"/>
            <w:vAlign w:val="center"/>
          </w:tcPr>
          <w:p>
            <w:pPr>
              <w:rPr>
                <w:rFonts w:hint="eastAsia" w:ascii="仿宋_GB2312" w:eastAsia="仿宋_GB2312"/>
                <w:sz w:val="18"/>
                <w:szCs w:val="18"/>
              </w:rPr>
            </w:pPr>
            <w:r>
              <w:rPr>
                <w:rFonts w:hint="eastAsia" w:ascii="仿宋_GB2312" w:eastAsia="仿宋_GB2312"/>
                <w:sz w:val="18"/>
                <w:szCs w:val="18"/>
              </w:rPr>
              <w:t>从30家限额以上餐饮企业中按照10%的比例随机抽取3家</w:t>
            </w:r>
          </w:p>
        </w:tc>
        <w:tc>
          <w:tcPr>
            <w:tcW w:w="2340" w:type="dxa"/>
            <w:noWrap w:val="0"/>
            <w:vAlign w:val="center"/>
          </w:tcPr>
          <w:p>
            <w:pPr>
              <w:spacing w:line="260" w:lineRule="exact"/>
              <w:rPr>
                <w:rFonts w:hint="eastAsia" w:ascii="仿宋_GB2312" w:eastAsia="仿宋_GB2312"/>
                <w:sz w:val="18"/>
                <w:szCs w:val="18"/>
              </w:rPr>
            </w:pPr>
            <w:r>
              <w:rPr>
                <w:rFonts w:hint="eastAsia" w:ascii="仿宋_GB2312" w:eastAsia="仿宋_GB2312"/>
                <w:sz w:val="18"/>
                <w:szCs w:val="18"/>
              </w:rPr>
              <w:t>对餐饮企业开展反食品浪费相关行为进行监督检查</w:t>
            </w:r>
          </w:p>
        </w:tc>
        <w:tc>
          <w:tcPr>
            <w:tcW w:w="4320" w:type="dxa"/>
            <w:noWrap w:val="0"/>
            <w:vAlign w:val="center"/>
          </w:tcPr>
          <w:p>
            <w:pPr>
              <w:rPr>
                <w:rFonts w:hint="eastAsia" w:ascii="仿宋_GB2312" w:eastAsia="仿宋_GB2312"/>
                <w:sz w:val="18"/>
                <w:szCs w:val="18"/>
              </w:rPr>
            </w:pPr>
            <w:r>
              <w:rPr>
                <w:rFonts w:hint="eastAsia" w:ascii="仿宋_GB2312" w:eastAsia="仿宋_GB2312"/>
                <w:sz w:val="18"/>
                <w:szCs w:val="18"/>
              </w:rPr>
              <w:t>《</w:t>
            </w:r>
            <w:r>
              <w:rPr>
                <w:rStyle w:val="11"/>
                <w:rFonts w:hint="eastAsia" w:ascii="仿宋_GB2312" w:hAnsi="Helvetica" w:eastAsia="仿宋_GB2312" w:cs="Helvetica"/>
                <w:bCs/>
                <w:color w:val="262626"/>
                <w:sz w:val="18"/>
                <w:szCs w:val="18"/>
              </w:rPr>
              <w:t>餐饮业经营管理办法（试行）</w:t>
            </w:r>
            <w:r>
              <w:rPr>
                <w:rFonts w:hint="eastAsia" w:ascii="仿宋_GB2312" w:eastAsia="仿宋_GB2312"/>
                <w:sz w:val="18"/>
                <w:szCs w:val="18"/>
              </w:rPr>
              <w:t>》（商务部、国家发展改革委令2014年第4号）第十八条 县级以上地方商务主管部门应当定期对餐饮行业开展反食品浪费相关行为进行监督检查，并给予相应奖励或处罚。</w:t>
            </w:r>
          </w:p>
        </w:tc>
        <w:tc>
          <w:tcPr>
            <w:tcW w:w="1440" w:type="dxa"/>
            <w:noWrap w:val="0"/>
            <w:vAlign w:val="center"/>
          </w:tcPr>
          <w:p>
            <w:pPr>
              <w:spacing w:line="260" w:lineRule="exact"/>
              <w:rPr>
                <w:rFonts w:hint="eastAsia" w:ascii="仿宋_GB2312" w:eastAsia="仿宋_GB2312"/>
                <w:sz w:val="18"/>
                <w:szCs w:val="18"/>
              </w:rPr>
            </w:pPr>
            <w:r>
              <w:rPr>
                <w:rFonts w:hint="eastAsia" w:ascii="仿宋_GB2312" w:eastAsia="仿宋_GB2312"/>
                <w:sz w:val="18"/>
                <w:szCs w:val="18"/>
              </w:rPr>
              <w:t>2023年第三季度检查3家</w:t>
            </w:r>
          </w:p>
        </w:tc>
        <w:tc>
          <w:tcPr>
            <w:tcW w:w="1466" w:type="dxa"/>
            <w:noWrap w:val="0"/>
            <w:vAlign w:val="center"/>
          </w:tcPr>
          <w:p>
            <w:pPr>
              <w:spacing w:line="260" w:lineRule="exact"/>
              <w:jc w:val="center"/>
              <w:rPr>
                <w:rFonts w:hint="eastAsia" w:ascii="仿宋_GB2312" w:eastAsia="仿宋_GB2312"/>
                <w:sz w:val="18"/>
                <w:szCs w:val="18"/>
              </w:rPr>
            </w:pPr>
            <w:r>
              <w:rPr>
                <w:rFonts w:hint="eastAsia" w:ascii="仿宋_GB2312" w:hAnsi="Calibri" w:eastAsia="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03" w:hRule="atLeast"/>
        </w:trPr>
        <w:tc>
          <w:tcPr>
            <w:tcW w:w="828" w:type="dxa"/>
            <w:noWrap w:val="0"/>
            <w:vAlign w:val="center"/>
          </w:tcPr>
          <w:p>
            <w:pPr>
              <w:jc w:val="center"/>
              <w:rPr>
                <w:rFonts w:hint="eastAsia" w:ascii="仿宋_GB2312" w:hAnsi="Calibri" w:eastAsia="仿宋_GB2312"/>
                <w:sz w:val="18"/>
                <w:szCs w:val="18"/>
              </w:rPr>
            </w:pPr>
            <w:r>
              <w:rPr>
                <w:rFonts w:hint="eastAsia" w:ascii="仿宋_GB2312" w:hAnsi="Calibri" w:eastAsia="仿宋_GB2312"/>
                <w:sz w:val="18"/>
                <w:szCs w:val="18"/>
              </w:rPr>
              <w:t>3</w:t>
            </w:r>
          </w:p>
        </w:tc>
        <w:tc>
          <w:tcPr>
            <w:tcW w:w="1980" w:type="dxa"/>
            <w:noWrap w:val="0"/>
            <w:vAlign w:val="center"/>
          </w:tcPr>
          <w:p>
            <w:pPr>
              <w:jc w:val="center"/>
              <w:rPr>
                <w:rFonts w:hint="eastAsia" w:ascii="仿宋_GB2312" w:hAnsi="Calibri" w:eastAsia="仿宋_GB2312"/>
                <w:sz w:val="18"/>
                <w:szCs w:val="18"/>
              </w:rPr>
            </w:pPr>
            <w:r>
              <w:rPr>
                <w:rFonts w:hint="eastAsia" w:ascii="仿宋_GB2312" w:hAnsi="Calibri" w:eastAsia="仿宋_GB2312"/>
                <w:sz w:val="18"/>
                <w:szCs w:val="18"/>
              </w:rPr>
              <w:t>本溪市商务局</w:t>
            </w:r>
          </w:p>
        </w:tc>
        <w:tc>
          <w:tcPr>
            <w:tcW w:w="180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从22家汽车销售企业</w:t>
            </w:r>
            <w:r>
              <w:rPr>
                <w:rFonts w:hint="eastAsia" w:ascii="仿宋_GB2312" w:eastAsia="仿宋_GB2312"/>
                <w:sz w:val="18"/>
                <w:szCs w:val="18"/>
              </w:rPr>
              <w:t>中按照9%的比例随机抽取2家</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对汽车销售及其相关服务活动进行监督检查</w:t>
            </w:r>
          </w:p>
        </w:tc>
        <w:tc>
          <w:tcPr>
            <w:tcW w:w="4320" w:type="dxa"/>
            <w:noWrap w:val="0"/>
            <w:vAlign w:val="center"/>
          </w:tcPr>
          <w:p>
            <w:pPr>
              <w:rPr>
                <w:rFonts w:hint="eastAsia" w:ascii="仿宋_GB2312" w:hAnsi="Calibri" w:eastAsia="仿宋_GB2312"/>
                <w:sz w:val="18"/>
                <w:szCs w:val="18"/>
              </w:rPr>
            </w:pPr>
            <w:r>
              <w:rPr>
                <w:rFonts w:hint="eastAsia" w:ascii="仿宋_GB2312" w:eastAsia="仿宋_GB2312"/>
                <w:sz w:val="18"/>
                <w:szCs w:val="18"/>
              </w:rPr>
              <w:t>《汽车销售管理办法》（商务部令2017年第1号）第二十九条</w:t>
            </w:r>
            <w:r>
              <w:rPr>
                <w:rFonts w:hint="eastAsia" w:eastAsia="仿宋_GB2312"/>
                <w:sz w:val="18"/>
                <w:szCs w:val="18"/>
              </w:rPr>
              <w:t xml:space="preserve"> </w:t>
            </w:r>
            <w:r>
              <w:rPr>
                <w:rFonts w:hint="eastAsia" w:ascii="仿宋_GB2312" w:eastAsia="仿宋_GB2312"/>
                <w:sz w:val="18"/>
                <w:szCs w:val="18"/>
              </w:rPr>
              <w:t>县级以上地方商务主管部门应当依据职责，采取“双随机”办法对汽车销售及其相关服务活动实施日常监督检查。</w:t>
            </w:r>
          </w:p>
        </w:tc>
        <w:tc>
          <w:tcPr>
            <w:tcW w:w="1440" w:type="dxa"/>
            <w:noWrap w:val="0"/>
            <w:vAlign w:val="center"/>
          </w:tcPr>
          <w:p>
            <w:pPr>
              <w:rPr>
                <w:rFonts w:hint="eastAsia" w:ascii="仿宋_GB2312" w:eastAsia="仿宋_GB2312"/>
                <w:sz w:val="18"/>
                <w:szCs w:val="18"/>
              </w:rPr>
            </w:pPr>
            <w:r>
              <w:rPr>
                <w:rFonts w:hint="eastAsia" w:ascii="仿宋_GB2312" w:eastAsia="仿宋_GB2312"/>
                <w:sz w:val="18"/>
                <w:szCs w:val="18"/>
              </w:rPr>
              <w:t>2023年9月检查2家</w:t>
            </w:r>
          </w:p>
        </w:tc>
        <w:tc>
          <w:tcPr>
            <w:tcW w:w="1466" w:type="dxa"/>
            <w:noWrap w:val="0"/>
            <w:vAlign w:val="center"/>
          </w:tcPr>
          <w:p>
            <w:pPr>
              <w:jc w:val="center"/>
              <w:rPr>
                <w:rFonts w:hint="eastAsia" w:ascii="仿宋_GB2312" w:hAnsi="Calibri" w:eastAsia="仿宋_GB2312"/>
                <w:sz w:val="18"/>
                <w:szCs w:val="18"/>
              </w:rPr>
            </w:pPr>
            <w:r>
              <w:rPr>
                <w:rFonts w:hint="eastAsia" w:ascii="仿宋_GB2312" w:hAnsi="Calibri" w:eastAsia="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64" w:hRule="atLeast"/>
        </w:trPr>
        <w:tc>
          <w:tcPr>
            <w:tcW w:w="828" w:type="dxa"/>
            <w:noWrap w:val="0"/>
            <w:vAlign w:val="center"/>
          </w:tcPr>
          <w:p>
            <w:pPr>
              <w:jc w:val="center"/>
              <w:rPr>
                <w:rFonts w:hint="eastAsia" w:ascii="仿宋_GB2312" w:hAnsi="Calibri" w:eastAsia="仿宋_GB2312"/>
                <w:sz w:val="32"/>
                <w:szCs w:val="32"/>
              </w:rPr>
            </w:pPr>
            <w:r>
              <w:rPr>
                <w:rFonts w:hint="eastAsia" w:ascii="仿宋_GB2312" w:eastAsia="仿宋_GB2312"/>
                <w:sz w:val="18"/>
                <w:szCs w:val="18"/>
              </w:rPr>
              <w:t>4</w:t>
            </w:r>
          </w:p>
        </w:tc>
        <w:tc>
          <w:tcPr>
            <w:tcW w:w="1980" w:type="dxa"/>
            <w:noWrap w:val="0"/>
            <w:vAlign w:val="center"/>
          </w:tcPr>
          <w:p>
            <w:pPr>
              <w:spacing w:line="260" w:lineRule="exact"/>
              <w:jc w:val="center"/>
              <w:rPr>
                <w:rFonts w:hint="eastAsia" w:ascii="仿宋_GB2312" w:eastAsia="仿宋_GB2312"/>
                <w:sz w:val="18"/>
                <w:szCs w:val="18"/>
              </w:rPr>
            </w:pPr>
            <w:r>
              <w:rPr>
                <w:rFonts w:hint="eastAsia" w:ascii="仿宋_GB2312" w:eastAsia="仿宋_GB2312"/>
                <w:sz w:val="18"/>
                <w:szCs w:val="18"/>
              </w:rPr>
              <w:t>本溪市商务局</w:t>
            </w:r>
          </w:p>
        </w:tc>
        <w:tc>
          <w:tcPr>
            <w:tcW w:w="1800" w:type="dxa"/>
            <w:noWrap w:val="0"/>
            <w:vAlign w:val="center"/>
          </w:tcPr>
          <w:p>
            <w:r>
              <w:rPr>
                <w:rFonts w:hint="eastAsia" w:ascii="仿宋_GB2312" w:eastAsia="仿宋_GB2312"/>
                <w:color w:val="000000"/>
                <w:sz w:val="18"/>
                <w:szCs w:val="18"/>
              </w:rPr>
              <w:t>从4</w:t>
            </w:r>
            <w:r>
              <w:rPr>
                <w:rFonts w:ascii="仿宋_GB2312" w:eastAsia="仿宋_GB2312"/>
                <w:color w:val="000000"/>
                <w:sz w:val="18"/>
                <w:szCs w:val="18"/>
              </w:rPr>
              <w:t>5</w:t>
            </w:r>
            <w:r>
              <w:rPr>
                <w:rFonts w:hint="eastAsia" w:ascii="仿宋_GB2312" w:eastAsia="仿宋_GB2312"/>
                <w:color w:val="000000"/>
                <w:sz w:val="18"/>
                <w:szCs w:val="18"/>
              </w:rPr>
              <w:t>家建设施工现场</w:t>
            </w:r>
            <w:r>
              <w:rPr>
                <w:rFonts w:hint="eastAsia" w:ascii="仿宋_GB2312" w:eastAsia="仿宋_GB2312"/>
                <w:sz w:val="18"/>
                <w:szCs w:val="18"/>
              </w:rPr>
              <w:t>中按照</w:t>
            </w:r>
            <w:r>
              <w:rPr>
                <w:rFonts w:ascii="仿宋_GB2312" w:eastAsia="仿宋_GB2312"/>
                <w:sz w:val="18"/>
                <w:szCs w:val="18"/>
              </w:rPr>
              <w:t>9</w:t>
            </w:r>
            <w:r>
              <w:rPr>
                <w:rFonts w:hint="eastAsia" w:ascii="仿宋_GB2312" w:eastAsia="仿宋_GB2312"/>
                <w:sz w:val="18"/>
                <w:szCs w:val="18"/>
              </w:rPr>
              <w:t>%的比例随机抽取</w:t>
            </w:r>
            <w:r>
              <w:rPr>
                <w:rFonts w:ascii="仿宋_GB2312" w:eastAsia="仿宋_GB2312"/>
                <w:sz w:val="18"/>
                <w:szCs w:val="18"/>
              </w:rPr>
              <w:t>4</w:t>
            </w:r>
            <w:r>
              <w:rPr>
                <w:rFonts w:hint="eastAsia" w:ascii="仿宋_GB2312" w:eastAsia="仿宋_GB2312"/>
                <w:sz w:val="18"/>
                <w:szCs w:val="18"/>
              </w:rPr>
              <w:t>家</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对建设施工现场禁止现场搅拌混凝土、砂浆情况进行监督检查</w:t>
            </w:r>
          </w:p>
        </w:tc>
        <w:tc>
          <w:tcPr>
            <w:tcW w:w="4320" w:type="dxa"/>
            <w:noWrap w:val="0"/>
            <w:vAlign w:val="center"/>
          </w:tcPr>
          <w:p>
            <w:pPr>
              <w:rPr>
                <w:rFonts w:hint="eastAsia" w:ascii="仿宋_GB2312" w:eastAsia="仿宋_GB2312"/>
                <w:sz w:val="18"/>
                <w:szCs w:val="18"/>
              </w:rPr>
            </w:pPr>
            <w:r>
              <w:rPr>
                <w:rFonts w:hint="eastAsia" w:ascii="仿宋_GB2312" w:eastAsia="仿宋_GB2312"/>
                <w:sz w:val="18"/>
                <w:szCs w:val="18"/>
              </w:rPr>
              <w:t>《散装水泥管理办法》（商务部、财政部、建设部、铁道部、交通部、国家质量监督检验检疫总局、国家环境保护总局令2004年第5号）第四条 县级以上地方人民政府确定的部门负责本行政区域内散装水泥的监督管理工作。县级以上地方人民政府财政、建设、交通、质量技术监督和环境保护等行政主管部门，按照各自的职责，负责本行政区域内散装水泥的有关工作。</w:t>
            </w:r>
          </w:p>
          <w:p>
            <w:pPr>
              <w:rPr>
                <w:rFonts w:hint="eastAsia" w:ascii="仿宋_GB2312" w:eastAsia="仿宋_GB2312"/>
                <w:sz w:val="18"/>
                <w:szCs w:val="18"/>
              </w:rPr>
            </w:pPr>
            <w:r>
              <w:rPr>
                <w:rFonts w:hint="eastAsia" w:ascii="仿宋_GB2312" w:eastAsia="仿宋_GB2312"/>
                <w:sz w:val="18"/>
                <w:szCs w:val="18"/>
              </w:rPr>
              <w:t>《辽宁省发展散装水泥管理规定》（1999年9月30日辽宁省人民政府令第106号公布 根据 2003 年 7 月 19 日辽宁省人民政府令第 158号第一次修正 根据2014年8月6日辽宁省人民政府令第292 号第二次修正 根据 2017 年 11 月 29 日辽宁省人民政府令第 311 号第三次修正）第四条 省、市、县（含县级市、区，下同）人民政府指定的行政管理部门（以下称散装水泥管理部门）负责本行政区域内散装水泥的管理工作。</w:t>
            </w:r>
          </w:p>
        </w:tc>
        <w:tc>
          <w:tcPr>
            <w:tcW w:w="1440" w:type="dxa"/>
            <w:noWrap w:val="0"/>
            <w:vAlign w:val="center"/>
          </w:tcPr>
          <w:p>
            <w:pPr>
              <w:spacing w:line="260" w:lineRule="exact"/>
              <w:rPr>
                <w:rFonts w:hint="eastAsia" w:ascii="仿宋_GB2312" w:eastAsia="仿宋_GB2312"/>
                <w:sz w:val="18"/>
                <w:szCs w:val="18"/>
              </w:rPr>
            </w:pPr>
            <w:r>
              <w:rPr>
                <w:rFonts w:hint="eastAsia" w:ascii="仿宋_GB2312" w:eastAsia="仿宋_GB2312"/>
                <w:sz w:val="18"/>
                <w:szCs w:val="18"/>
              </w:rPr>
              <w:t>2023年第三季度检查</w:t>
            </w:r>
            <w:r>
              <w:rPr>
                <w:rFonts w:ascii="仿宋_GB2312" w:eastAsia="仿宋_GB2312"/>
                <w:sz w:val="18"/>
                <w:szCs w:val="18"/>
              </w:rPr>
              <w:t>4</w:t>
            </w:r>
            <w:r>
              <w:rPr>
                <w:rFonts w:hint="eastAsia" w:ascii="仿宋_GB2312" w:eastAsia="仿宋_GB2312"/>
                <w:sz w:val="18"/>
                <w:szCs w:val="18"/>
              </w:rPr>
              <w:t>家</w:t>
            </w:r>
          </w:p>
        </w:tc>
        <w:tc>
          <w:tcPr>
            <w:tcW w:w="1466" w:type="dxa"/>
            <w:noWrap w:val="0"/>
            <w:vAlign w:val="center"/>
          </w:tcPr>
          <w:p>
            <w:pPr>
              <w:spacing w:line="260" w:lineRule="exact"/>
              <w:jc w:val="center"/>
              <w:rPr>
                <w:rFonts w:hint="eastAsia" w:ascii="仿宋_GB2312" w:eastAsia="仿宋_GB2312"/>
                <w:sz w:val="18"/>
                <w:szCs w:val="18"/>
              </w:rPr>
            </w:pPr>
            <w:r>
              <w:rPr>
                <w:rFonts w:hint="eastAsia" w:ascii="仿宋_GB2312" w:eastAsia="仿宋_GB2312"/>
                <w:sz w:val="18"/>
                <w:szCs w:val="18"/>
              </w:rPr>
              <w:t>现场检查</w:t>
            </w:r>
          </w:p>
        </w:tc>
      </w:tr>
    </w:tbl>
    <w:p>
      <w:pPr>
        <w:rPr>
          <w:rFonts w:hint="eastAsia"/>
        </w:rPr>
      </w:pPr>
    </w:p>
    <w:sectPr>
      <w:footerReference r:id="rId3" w:type="default"/>
      <w:footerReference r:id="rId4" w:type="even"/>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lang/>
      </w:rPr>
      <w:t>- 1 -</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0F70"/>
    <w:rsid w:val="0007239E"/>
    <w:rsid w:val="0009125F"/>
    <w:rsid w:val="000B0D6C"/>
    <w:rsid w:val="000C6A77"/>
    <w:rsid w:val="000D0FBD"/>
    <w:rsid w:val="000E52E6"/>
    <w:rsid w:val="0010135F"/>
    <w:rsid w:val="00105445"/>
    <w:rsid w:val="00115FDD"/>
    <w:rsid w:val="00130B30"/>
    <w:rsid w:val="00171A2D"/>
    <w:rsid w:val="00172B1D"/>
    <w:rsid w:val="00172DA4"/>
    <w:rsid w:val="001739E7"/>
    <w:rsid w:val="00177E42"/>
    <w:rsid w:val="00180F7D"/>
    <w:rsid w:val="001B49FA"/>
    <w:rsid w:val="001C39CD"/>
    <w:rsid w:val="001E1530"/>
    <w:rsid w:val="001E2769"/>
    <w:rsid w:val="001E7699"/>
    <w:rsid w:val="001F3B39"/>
    <w:rsid w:val="002012F2"/>
    <w:rsid w:val="0021025E"/>
    <w:rsid w:val="00261937"/>
    <w:rsid w:val="0026377D"/>
    <w:rsid w:val="0027482B"/>
    <w:rsid w:val="002760BE"/>
    <w:rsid w:val="002B1B97"/>
    <w:rsid w:val="002B7101"/>
    <w:rsid w:val="002C5B3B"/>
    <w:rsid w:val="002E0933"/>
    <w:rsid w:val="002E44CE"/>
    <w:rsid w:val="0030279B"/>
    <w:rsid w:val="003120AE"/>
    <w:rsid w:val="00316C9B"/>
    <w:rsid w:val="00330FF8"/>
    <w:rsid w:val="00342CA5"/>
    <w:rsid w:val="00344E59"/>
    <w:rsid w:val="00345031"/>
    <w:rsid w:val="00350868"/>
    <w:rsid w:val="00357741"/>
    <w:rsid w:val="00362AD3"/>
    <w:rsid w:val="00364C4F"/>
    <w:rsid w:val="003715D1"/>
    <w:rsid w:val="003728F6"/>
    <w:rsid w:val="003927CD"/>
    <w:rsid w:val="00394A29"/>
    <w:rsid w:val="003A4CAF"/>
    <w:rsid w:val="003C4446"/>
    <w:rsid w:val="003E2857"/>
    <w:rsid w:val="003F3207"/>
    <w:rsid w:val="003F3524"/>
    <w:rsid w:val="0042111B"/>
    <w:rsid w:val="00421ED6"/>
    <w:rsid w:val="00424FAC"/>
    <w:rsid w:val="00425CE0"/>
    <w:rsid w:val="00437930"/>
    <w:rsid w:val="00437B9D"/>
    <w:rsid w:val="004414DA"/>
    <w:rsid w:val="0047408F"/>
    <w:rsid w:val="004756F0"/>
    <w:rsid w:val="004B27A7"/>
    <w:rsid w:val="004B5245"/>
    <w:rsid w:val="004B68BB"/>
    <w:rsid w:val="004C7EEB"/>
    <w:rsid w:val="004D6EEE"/>
    <w:rsid w:val="004F6FEE"/>
    <w:rsid w:val="005353A6"/>
    <w:rsid w:val="00545014"/>
    <w:rsid w:val="00553A08"/>
    <w:rsid w:val="00563306"/>
    <w:rsid w:val="00571EA0"/>
    <w:rsid w:val="005E036F"/>
    <w:rsid w:val="00607A5F"/>
    <w:rsid w:val="0061050C"/>
    <w:rsid w:val="006155B4"/>
    <w:rsid w:val="00632E5D"/>
    <w:rsid w:val="00636846"/>
    <w:rsid w:val="00641789"/>
    <w:rsid w:val="006609E6"/>
    <w:rsid w:val="0069008F"/>
    <w:rsid w:val="006B5B1B"/>
    <w:rsid w:val="006C47FE"/>
    <w:rsid w:val="006C6CC6"/>
    <w:rsid w:val="006D0310"/>
    <w:rsid w:val="00777B60"/>
    <w:rsid w:val="00786E52"/>
    <w:rsid w:val="007A0F1A"/>
    <w:rsid w:val="007A2A0B"/>
    <w:rsid w:val="007A43A6"/>
    <w:rsid w:val="007C3215"/>
    <w:rsid w:val="007E6226"/>
    <w:rsid w:val="008166B2"/>
    <w:rsid w:val="00817BEF"/>
    <w:rsid w:val="008210C3"/>
    <w:rsid w:val="0082172C"/>
    <w:rsid w:val="0082278E"/>
    <w:rsid w:val="008347BB"/>
    <w:rsid w:val="00835D6B"/>
    <w:rsid w:val="00846F7A"/>
    <w:rsid w:val="00854B97"/>
    <w:rsid w:val="00863FAA"/>
    <w:rsid w:val="0089497F"/>
    <w:rsid w:val="00896D05"/>
    <w:rsid w:val="00897499"/>
    <w:rsid w:val="008A42E2"/>
    <w:rsid w:val="008B66A9"/>
    <w:rsid w:val="008F40B4"/>
    <w:rsid w:val="0093374F"/>
    <w:rsid w:val="009574AC"/>
    <w:rsid w:val="00965C4E"/>
    <w:rsid w:val="00981FEE"/>
    <w:rsid w:val="00983180"/>
    <w:rsid w:val="009A399C"/>
    <w:rsid w:val="009C6438"/>
    <w:rsid w:val="00A1233C"/>
    <w:rsid w:val="00A1660C"/>
    <w:rsid w:val="00A24604"/>
    <w:rsid w:val="00A25EE6"/>
    <w:rsid w:val="00A30E24"/>
    <w:rsid w:val="00A53D4A"/>
    <w:rsid w:val="00A60B60"/>
    <w:rsid w:val="00A92EFA"/>
    <w:rsid w:val="00AD3265"/>
    <w:rsid w:val="00B20933"/>
    <w:rsid w:val="00B31098"/>
    <w:rsid w:val="00B41DBE"/>
    <w:rsid w:val="00B47205"/>
    <w:rsid w:val="00B97CBD"/>
    <w:rsid w:val="00BF2C1A"/>
    <w:rsid w:val="00BF46BB"/>
    <w:rsid w:val="00C157FB"/>
    <w:rsid w:val="00C176E4"/>
    <w:rsid w:val="00C35229"/>
    <w:rsid w:val="00C47167"/>
    <w:rsid w:val="00C71C5B"/>
    <w:rsid w:val="00C824C0"/>
    <w:rsid w:val="00C83675"/>
    <w:rsid w:val="00C860F9"/>
    <w:rsid w:val="00C86FEB"/>
    <w:rsid w:val="00CB34D5"/>
    <w:rsid w:val="00CD0BE9"/>
    <w:rsid w:val="00CD5F0A"/>
    <w:rsid w:val="00D0263A"/>
    <w:rsid w:val="00D02B14"/>
    <w:rsid w:val="00D3486E"/>
    <w:rsid w:val="00D379BF"/>
    <w:rsid w:val="00D516CE"/>
    <w:rsid w:val="00D619A2"/>
    <w:rsid w:val="00D85B6F"/>
    <w:rsid w:val="00D976BD"/>
    <w:rsid w:val="00DB31CE"/>
    <w:rsid w:val="00DD672B"/>
    <w:rsid w:val="00DE0959"/>
    <w:rsid w:val="00DF1DCC"/>
    <w:rsid w:val="00E161BD"/>
    <w:rsid w:val="00E34090"/>
    <w:rsid w:val="00E61162"/>
    <w:rsid w:val="00E81FAC"/>
    <w:rsid w:val="00E87936"/>
    <w:rsid w:val="00E91DF4"/>
    <w:rsid w:val="00EA38CB"/>
    <w:rsid w:val="00EB3355"/>
    <w:rsid w:val="00EB5502"/>
    <w:rsid w:val="00EB70D6"/>
    <w:rsid w:val="00ED15FE"/>
    <w:rsid w:val="00EF485C"/>
    <w:rsid w:val="00F12678"/>
    <w:rsid w:val="00F1431F"/>
    <w:rsid w:val="00F1779A"/>
    <w:rsid w:val="00F7088F"/>
    <w:rsid w:val="00F715D4"/>
    <w:rsid w:val="00F7257D"/>
    <w:rsid w:val="00FA1C6B"/>
    <w:rsid w:val="00FC4600"/>
    <w:rsid w:val="00FD7E5F"/>
    <w:rsid w:val="00FE02CD"/>
    <w:rsid w:val="639214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7">
    <w:name w:val="Default Paragraph Font"/>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uiPriority w:val="0"/>
    <w:rPr>
      <w:b/>
      <w:bCs/>
    </w:rPr>
  </w:style>
  <w:style w:type="character" w:styleId="9">
    <w:name w:val="page number"/>
    <w:basedOn w:val="7"/>
    <w:uiPriority w:val="0"/>
  </w:style>
  <w:style w:type="paragraph" w:customStyle="1" w:styleId="10">
    <w:name w:val="p0"/>
    <w:basedOn w:val="1"/>
    <w:uiPriority w:val="0"/>
    <w:pPr>
      <w:widowControl/>
    </w:pPr>
    <w:rPr>
      <w:kern w:val="0"/>
      <w:szCs w:val="21"/>
    </w:rPr>
  </w:style>
  <w:style w:type="character" w:customStyle="1" w:styleId="11">
    <w:name w:val="ediassetstextcon"/>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168</Words>
  <Characters>964</Characters>
  <Lines>8</Lines>
  <Paragraphs>2</Paragraphs>
  <TotalTime>0</TotalTime>
  <ScaleCrop>false</ScaleCrop>
  <LinksUpToDate>false</LinksUpToDate>
  <CharactersWithSpaces>1130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2019-03-29T06:10:00Z</dcterms:created>
  <dc:creator>User</dc:creator>
  <cp:lastModifiedBy>李强</cp:lastModifiedBy>
  <cp:lastPrinted>2023-01-11T00:58:00Z</cp:lastPrinted>
  <dcterms:modified xsi:type="dcterms:W3CDTF">2023-01-11T05:51:40Z</dcterms:modified>
  <dc:title>关于将市商务局行政执法检查纳入</dc:title>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