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32DE7">
      <w:pPr>
        <w:rPr>
          <w:rFonts w:hint="eastAsia"/>
          <w:b/>
          <w:bCs/>
        </w:rPr>
      </w:pPr>
    </w:p>
    <w:p w14:paraId="48D4C6CB">
      <w:pPr>
        <w:rPr>
          <w:rFonts w:hint="eastAsia"/>
          <w:b/>
          <w:bCs/>
        </w:rPr>
      </w:pPr>
    </w:p>
    <w:p w14:paraId="76AD346B">
      <w:pPr>
        <w:rPr>
          <w:rFonts w:hint="eastAsia"/>
          <w:b/>
          <w:bCs/>
        </w:rPr>
      </w:pPr>
      <w:bookmarkStart w:id="36" w:name="_GoBack"/>
      <w:bookmarkEnd w:id="36"/>
    </w:p>
    <w:p w14:paraId="6DC0E700">
      <w:pPr>
        <w:rPr>
          <w:rFonts w:hint="eastAsia"/>
          <w:b/>
          <w:bCs/>
        </w:rPr>
      </w:pPr>
    </w:p>
    <w:p w14:paraId="1C6AEE34">
      <w:pPr>
        <w:rPr>
          <w:rFonts w:hint="eastAsia"/>
          <w:b/>
          <w:bCs/>
        </w:rPr>
      </w:pPr>
    </w:p>
    <w:p w14:paraId="4D40F677">
      <w:pPr>
        <w:jc w:val="center"/>
        <w:rPr>
          <w:rFonts w:hint="eastAsia" w:ascii="微软雅黑" w:hAnsi="微软雅黑" w:eastAsia="微软雅黑"/>
          <w:b/>
          <w:bCs/>
          <w:sz w:val="40"/>
          <w:szCs w:val="44"/>
        </w:rPr>
      </w:pPr>
      <w:r>
        <w:rPr>
          <w:rFonts w:hint="eastAsia" w:ascii="微软雅黑" w:hAnsi="微软雅黑" w:eastAsia="微软雅黑"/>
          <w:b/>
          <w:bCs/>
          <w:sz w:val="40"/>
          <w:szCs w:val="44"/>
        </w:rPr>
        <w:t>本溪抗联遗址遗迹保护和利用总体规划</w:t>
      </w:r>
    </w:p>
    <w:p w14:paraId="503C0833">
      <w:pPr>
        <w:jc w:val="center"/>
        <w:rPr>
          <w:rFonts w:hint="eastAsia" w:ascii="微软雅黑" w:hAnsi="微软雅黑" w:eastAsia="微软雅黑"/>
          <w:b/>
          <w:bCs/>
          <w:sz w:val="40"/>
          <w:szCs w:val="44"/>
        </w:rPr>
      </w:pPr>
      <w:r>
        <w:rPr>
          <w:rFonts w:hint="eastAsia" w:ascii="微软雅黑" w:hAnsi="微软雅黑" w:eastAsia="微软雅黑"/>
          <w:b/>
          <w:bCs/>
          <w:sz w:val="40"/>
          <w:szCs w:val="44"/>
        </w:rPr>
        <w:t>（2025—2035）</w:t>
      </w:r>
    </w:p>
    <w:p w14:paraId="2A13659E">
      <w:pPr>
        <w:jc w:val="center"/>
        <w:rPr>
          <w:rFonts w:hint="eastAsia" w:ascii="微软雅黑" w:hAnsi="微软雅黑" w:eastAsia="微软雅黑"/>
          <w:b/>
          <w:bCs/>
          <w:sz w:val="40"/>
          <w:szCs w:val="44"/>
        </w:rPr>
      </w:pPr>
      <w:r>
        <w:rPr>
          <w:rFonts w:hint="eastAsia" w:ascii="微软雅黑" w:hAnsi="微软雅黑" w:eastAsia="微软雅黑"/>
          <w:b/>
          <w:bCs/>
          <w:sz w:val="40"/>
          <w:szCs w:val="44"/>
          <w:lang w:eastAsia="zh-CN"/>
        </w:rPr>
        <w:t>征求意见</w:t>
      </w:r>
      <w:r>
        <w:rPr>
          <w:rFonts w:hint="eastAsia" w:ascii="微软雅黑" w:hAnsi="微软雅黑" w:eastAsia="微软雅黑"/>
          <w:b/>
          <w:bCs/>
          <w:sz w:val="40"/>
          <w:szCs w:val="44"/>
        </w:rPr>
        <w:t>稿</w:t>
      </w:r>
    </w:p>
    <w:p w14:paraId="452E371D">
      <w:pPr>
        <w:jc w:val="center"/>
        <w:rPr>
          <w:rFonts w:hint="eastAsia" w:ascii="微软雅黑" w:hAnsi="微软雅黑" w:eastAsia="微软雅黑"/>
          <w:b/>
          <w:bCs/>
          <w:sz w:val="40"/>
          <w:szCs w:val="44"/>
        </w:rPr>
      </w:pPr>
    </w:p>
    <w:p w14:paraId="19052FC6">
      <w:pPr>
        <w:jc w:val="center"/>
        <w:rPr>
          <w:rFonts w:hint="eastAsia" w:ascii="微软雅黑" w:hAnsi="微软雅黑" w:eastAsia="微软雅黑"/>
          <w:b/>
          <w:bCs/>
          <w:sz w:val="40"/>
          <w:szCs w:val="44"/>
        </w:rPr>
      </w:pPr>
    </w:p>
    <w:p w14:paraId="77068968">
      <w:pPr>
        <w:jc w:val="center"/>
        <w:rPr>
          <w:rFonts w:hint="eastAsia" w:ascii="微软雅黑" w:hAnsi="微软雅黑" w:eastAsia="微软雅黑"/>
          <w:b/>
          <w:bCs/>
          <w:sz w:val="40"/>
          <w:szCs w:val="44"/>
        </w:rPr>
      </w:pPr>
    </w:p>
    <w:p w14:paraId="50D249C0">
      <w:pPr>
        <w:jc w:val="center"/>
        <w:rPr>
          <w:rFonts w:hint="eastAsia" w:ascii="微软雅黑" w:hAnsi="微软雅黑" w:eastAsia="微软雅黑"/>
          <w:b/>
          <w:bCs/>
          <w:sz w:val="40"/>
          <w:szCs w:val="44"/>
        </w:rPr>
      </w:pPr>
    </w:p>
    <w:p w14:paraId="2E64250A">
      <w:pPr>
        <w:jc w:val="center"/>
        <w:rPr>
          <w:rFonts w:hint="eastAsia" w:ascii="微软雅黑" w:hAnsi="微软雅黑" w:eastAsia="微软雅黑"/>
          <w:b/>
          <w:bCs/>
          <w:sz w:val="40"/>
          <w:szCs w:val="44"/>
        </w:rPr>
      </w:pPr>
    </w:p>
    <w:p w14:paraId="52EDC5C0">
      <w:pPr>
        <w:jc w:val="center"/>
        <w:rPr>
          <w:rFonts w:hint="eastAsia" w:ascii="微软雅黑" w:hAnsi="微软雅黑" w:eastAsia="微软雅黑"/>
          <w:sz w:val="28"/>
          <w:szCs w:val="32"/>
        </w:rPr>
      </w:pPr>
      <w:r>
        <w:rPr>
          <w:rFonts w:hint="eastAsia" w:ascii="微软雅黑" w:hAnsi="微软雅黑" w:eastAsia="微软雅黑"/>
          <w:sz w:val="28"/>
          <w:szCs w:val="32"/>
        </w:rPr>
        <w:t>2025年10月30日</w:t>
      </w:r>
    </w:p>
    <w:p w14:paraId="06C83DC8">
      <w:pPr>
        <w:jc w:val="center"/>
        <w:rPr>
          <w:rFonts w:hint="eastAsia" w:ascii="微软雅黑" w:hAnsi="微软雅黑" w:eastAsia="微软雅黑"/>
          <w:b/>
          <w:bCs/>
          <w:sz w:val="40"/>
          <w:szCs w:val="44"/>
        </w:rPr>
      </w:pPr>
    </w:p>
    <w:sdt>
      <w:sdtPr>
        <w:rPr>
          <w:rFonts w:asciiTheme="majorHAnsi" w:hAnsiTheme="majorHAnsi" w:eastAsiaTheme="majorEastAsia" w:cstheme="majorBidi"/>
          <w:kern w:val="0"/>
          <w:sz w:val="32"/>
          <w:szCs w:val="32"/>
          <w:lang w:val="zh-CN"/>
          <w14:ligatures w14:val="none"/>
        </w:rPr>
        <w:id w:val="1911880357"/>
        <w:docPartObj>
          <w:docPartGallery w:val="Table of Contents"/>
          <w:docPartUnique/>
        </w:docPartObj>
      </w:sdtPr>
      <w:sdtEndPr>
        <w:rPr>
          <w:rFonts w:hint="eastAsia" w:ascii="宋体" w:hAnsi="宋体" w:eastAsia="宋体" w:cs="宋体"/>
          <w:kern w:val="2"/>
          <w:sz w:val="24"/>
          <w:szCs w:val="24"/>
          <w:lang w:val="zh-CN"/>
          <w14:ligatures w14:val="standardContextual"/>
        </w:rPr>
      </w:sdtEndPr>
      <w:sdtContent>
        <w:p w14:paraId="4AF6CBC4">
          <w:pPr>
            <w:keepNext/>
            <w:keepLines/>
            <w:widowControl/>
            <w:spacing w:before="240" w:after="0" w:line="259" w:lineRule="auto"/>
            <w:ind w:firstLine="480"/>
            <w:jc w:val="center"/>
            <w:rPr>
              <w:rFonts w:hint="eastAsia" w:asciiTheme="majorHAnsi" w:hAnsiTheme="majorHAnsi" w:eastAsiaTheme="majorEastAsia" w:cstheme="majorBidi"/>
              <w:kern w:val="0"/>
              <w:sz w:val="32"/>
              <w:szCs w:val="32"/>
              <w14:ligatures w14:val="none"/>
            </w:rPr>
          </w:pPr>
          <w:r>
            <w:rPr>
              <w:rFonts w:ascii="微软雅黑" w:hAnsi="微软雅黑" w:eastAsia="微软雅黑" w:cstheme="majorBidi"/>
              <w:b/>
              <w:bCs/>
              <w:kern w:val="0"/>
              <w:sz w:val="32"/>
              <w:szCs w:val="32"/>
              <w:lang w:val="zh-CN"/>
              <w14:ligatures w14:val="none"/>
            </w:rPr>
            <w:t>目录</w:t>
          </w:r>
        </w:p>
        <w:p w14:paraId="78F3FB30">
          <w:pPr>
            <w:pStyle w:val="13"/>
            <w:tabs>
              <w:tab w:val="right" w:leader="dot" w:pos="8296"/>
            </w:tabs>
            <w:spacing w:line="312" w:lineRule="auto"/>
            <w:ind w:firstLine="480"/>
            <w:rPr>
              <w:rFonts w:hint="eastAsia" w:ascii="宋体" w:hAnsi="宋体" w:cs="宋体"/>
            </w:rPr>
          </w:pPr>
          <w:r>
            <w:rPr>
              <w:rFonts w:hint="eastAsia" w:ascii="宋体" w:hAnsi="宋体" w:cs="宋体"/>
            </w:rPr>
            <w:fldChar w:fldCharType="begin"/>
          </w:r>
          <w:r>
            <w:rPr>
              <w:rFonts w:hint="eastAsia" w:ascii="宋体" w:hAnsi="宋体" w:cs="宋体"/>
            </w:rPr>
            <w:instrText xml:space="preserve"> TOC \o "1-3" \h \z \u </w:instrText>
          </w:r>
          <w:r>
            <w:rPr>
              <w:rFonts w:hint="eastAsia" w:ascii="宋体" w:hAnsi="宋体" w:cs="宋体"/>
            </w:rPr>
            <w:fldChar w:fldCharType="separate"/>
          </w:r>
          <w:r>
            <w:fldChar w:fldCharType="begin"/>
          </w:r>
          <w:r>
            <w:instrText xml:space="preserve"> HYPERLINK \l "_Toc212564854" </w:instrText>
          </w:r>
          <w:r>
            <w:fldChar w:fldCharType="separate"/>
          </w:r>
          <w:r>
            <w:rPr>
              <w:rStyle w:val="21"/>
              <w:rFonts w:hint="eastAsia" w:ascii="宋体" w:hAnsi="宋体" w:cs="宋体"/>
              <w:color w:val="auto"/>
            </w:rPr>
            <w:t>第一章 规划背景</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_Toc212564854 \h </w:instrText>
          </w:r>
          <w:r>
            <w:rPr>
              <w:rFonts w:hint="eastAsia" w:ascii="宋体" w:hAnsi="宋体" w:cs="宋体"/>
            </w:rPr>
            <w:fldChar w:fldCharType="separate"/>
          </w:r>
          <w:r>
            <w:rPr>
              <w:rFonts w:hint="eastAsia" w:ascii="宋体" w:hAnsi="宋体" w:cs="宋体"/>
            </w:rPr>
            <w:t>4</w:t>
          </w:r>
          <w:r>
            <w:rPr>
              <w:rFonts w:hint="eastAsia" w:ascii="宋体" w:hAnsi="宋体" w:cs="宋体"/>
            </w:rPr>
            <w:fldChar w:fldCharType="end"/>
          </w:r>
          <w:r>
            <w:rPr>
              <w:rFonts w:hint="eastAsia" w:ascii="宋体" w:hAnsi="宋体" w:cs="宋体"/>
            </w:rPr>
            <w:fldChar w:fldCharType="end"/>
          </w:r>
        </w:p>
        <w:p w14:paraId="42F84A3D">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"_Toc212564855" </w:instrText>
          </w:r>
          <w:r>
            <w:fldChar w:fldCharType="separate"/>
          </w:r>
          <w:r>
            <w:rPr>
              <w:rStyle w:val="21"/>
              <w:rFonts w:hint="eastAsia" w:ascii="宋体" w:hAnsi="宋体" w:cs="宋体"/>
              <w:color w:val="auto"/>
            </w:rPr>
            <w:t>1.1 政策背景</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_Toc212564855 \h </w:instrText>
          </w:r>
          <w:r>
            <w:rPr>
              <w:rFonts w:hint="eastAsia" w:ascii="宋体" w:hAnsi="宋体" w:cs="宋体"/>
            </w:rPr>
            <w:fldChar w:fldCharType="separate"/>
          </w:r>
          <w:r>
            <w:rPr>
              <w:rFonts w:hint="eastAsia" w:ascii="宋体" w:hAnsi="宋体" w:cs="宋体"/>
            </w:rPr>
            <w:t>4</w:t>
          </w:r>
          <w:r>
            <w:rPr>
              <w:rFonts w:hint="eastAsia" w:ascii="宋体" w:hAnsi="宋体" w:cs="宋体"/>
            </w:rPr>
            <w:fldChar w:fldCharType="end"/>
          </w:r>
          <w:r>
            <w:rPr>
              <w:rFonts w:hint="eastAsia" w:ascii="宋体" w:hAnsi="宋体" w:cs="宋体"/>
            </w:rPr>
            <w:fldChar w:fldCharType="end"/>
          </w:r>
        </w:p>
        <w:p w14:paraId="4A44CBEB">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"_Toc212564856" </w:instrText>
          </w:r>
          <w:r>
            <w:fldChar w:fldCharType="separate"/>
          </w:r>
          <w:r>
            <w:rPr>
              <w:rStyle w:val="21"/>
              <w:rFonts w:hint="eastAsia" w:ascii="宋体" w:hAnsi="宋体" w:cs="宋体"/>
              <w:color w:val="auto"/>
            </w:rPr>
            <w:t>1.2 规划原则</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_Toc212564856 \h </w:instrText>
          </w:r>
          <w:r>
            <w:rPr>
              <w:rFonts w:hint="eastAsia" w:ascii="宋体" w:hAnsi="宋体" w:cs="宋体"/>
            </w:rPr>
            <w:fldChar w:fldCharType="separate"/>
          </w:r>
          <w:r>
            <w:rPr>
              <w:rFonts w:hint="eastAsia" w:ascii="宋体" w:hAnsi="宋体" w:cs="宋体"/>
            </w:rPr>
            <w:t>5</w:t>
          </w:r>
          <w:r>
            <w:rPr>
              <w:rFonts w:hint="eastAsia" w:ascii="宋体" w:hAnsi="宋体" w:cs="宋体"/>
            </w:rPr>
            <w:fldChar w:fldCharType="end"/>
          </w:r>
          <w:r>
            <w:rPr>
              <w:rFonts w:hint="eastAsia" w:ascii="宋体" w:hAnsi="宋体" w:cs="宋体"/>
            </w:rPr>
            <w:fldChar w:fldCharType="end"/>
          </w:r>
        </w:p>
        <w:p w14:paraId="4C4FD455">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"_Toc212564857" </w:instrText>
          </w:r>
          <w:r>
            <w:fldChar w:fldCharType="separate"/>
          </w:r>
          <w:r>
            <w:rPr>
              <w:rStyle w:val="21"/>
              <w:rFonts w:hint="eastAsia" w:ascii="宋体" w:hAnsi="宋体" w:cs="宋体"/>
              <w:color w:val="auto"/>
            </w:rPr>
            <w:t>1.3 规划性质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_Toc212564857 \h </w:instrText>
          </w:r>
          <w:r>
            <w:rPr>
              <w:rFonts w:hint="eastAsia" w:ascii="宋体" w:hAnsi="宋体" w:cs="宋体"/>
            </w:rPr>
            <w:fldChar w:fldCharType="separate"/>
          </w:r>
          <w:r>
            <w:rPr>
              <w:rFonts w:hint="eastAsia" w:ascii="宋体" w:hAnsi="宋体" w:cs="宋体"/>
            </w:rPr>
            <w:t>6</w:t>
          </w:r>
          <w:r>
            <w:rPr>
              <w:rFonts w:hint="eastAsia" w:ascii="宋体" w:hAnsi="宋体" w:cs="宋体"/>
            </w:rPr>
            <w:fldChar w:fldCharType="end"/>
          </w:r>
          <w:r>
            <w:rPr>
              <w:rFonts w:hint="eastAsia" w:ascii="宋体" w:hAnsi="宋体" w:cs="宋体"/>
            </w:rPr>
            <w:fldChar w:fldCharType="end"/>
          </w:r>
        </w:p>
        <w:p w14:paraId="2D91922D">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"_Toc212564858" </w:instrText>
          </w:r>
          <w:r>
            <w:fldChar w:fldCharType="separate"/>
          </w:r>
          <w:r>
            <w:rPr>
              <w:rStyle w:val="21"/>
              <w:rFonts w:hint="eastAsia" w:ascii="宋体" w:hAnsi="宋体" w:cs="宋体"/>
              <w:color w:val="auto"/>
            </w:rPr>
            <w:t>1.4 规划范围</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_Toc212564858 \h </w:instrText>
          </w:r>
          <w:r>
            <w:rPr>
              <w:rFonts w:hint="eastAsia" w:ascii="宋体" w:hAnsi="宋体" w:cs="宋体"/>
            </w:rPr>
            <w:fldChar w:fldCharType="separate"/>
          </w:r>
          <w:r>
            <w:rPr>
              <w:rFonts w:hint="eastAsia" w:ascii="宋体" w:hAnsi="宋体" w:cs="宋体"/>
            </w:rPr>
            <w:t>6</w:t>
          </w:r>
          <w:r>
            <w:rPr>
              <w:rFonts w:hint="eastAsia" w:ascii="宋体" w:hAnsi="宋体" w:cs="宋体"/>
            </w:rPr>
            <w:fldChar w:fldCharType="end"/>
          </w:r>
          <w:r>
            <w:rPr>
              <w:rFonts w:hint="eastAsia" w:ascii="宋体" w:hAnsi="宋体" w:cs="宋体"/>
            </w:rPr>
            <w:fldChar w:fldCharType="end"/>
          </w:r>
        </w:p>
        <w:p w14:paraId="44A1A542">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"_Toc212564859" </w:instrText>
          </w:r>
          <w:r>
            <w:fldChar w:fldCharType="separate"/>
          </w:r>
          <w:r>
            <w:rPr>
              <w:rStyle w:val="21"/>
              <w:rFonts w:hint="eastAsia" w:ascii="宋体" w:hAnsi="宋体" w:cs="宋体"/>
              <w:color w:val="auto"/>
            </w:rPr>
            <w:t>1.5 规划期限</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_Toc212564859 \h </w:instrText>
          </w:r>
          <w:r>
            <w:rPr>
              <w:rFonts w:hint="eastAsia" w:ascii="宋体" w:hAnsi="宋体" w:cs="宋体"/>
            </w:rPr>
            <w:fldChar w:fldCharType="separate"/>
          </w:r>
          <w:r>
            <w:rPr>
              <w:rFonts w:hint="eastAsia" w:ascii="宋体" w:hAnsi="宋体" w:cs="宋体"/>
            </w:rPr>
            <w:t>6</w:t>
          </w:r>
          <w:r>
            <w:rPr>
              <w:rFonts w:hint="eastAsia" w:ascii="宋体" w:hAnsi="宋体" w:cs="宋体"/>
            </w:rPr>
            <w:fldChar w:fldCharType="end"/>
          </w:r>
          <w:r>
            <w:rPr>
              <w:rFonts w:hint="eastAsia" w:ascii="宋体" w:hAnsi="宋体" w:cs="宋体"/>
            </w:rPr>
            <w:fldChar w:fldCharType="end"/>
          </w:r>
        </w:p>
        <w:p w14:paraId="084DB7D0">
          <w:pPr>
            <w:pStyle w:val="13"/>
            <w:tabs>
              <w:tab w:val="right" w:leader="dot" w:pos="8296"/>
            </w:tabs>
            <w:spacing w:line="312" w:lineRule="auto"/>
            <w:ind w:firstLine="480"/>
            <w:rPr>
              <w:rFonts w:hint="eastAsia" w:ascii="宋体" w:hAnsi="宋体" w:cs="宋体"/>
            </w:rPr>
          </w:pPr>
          <w:r>
            <w:fldChar w:fldCharType="begin"/>
          </w:r>
          <w:r>
            <w:instrText xml:space="preserve"> HYPERLINK \l "_Toc212564860" </w:instrText>
          </w:r>
          <w:r>
            <w:fldChar w:fldCharType="separate"/>
          </w:r>
          <w:r>
            <w:rPr>
              <w:rStyle w:val="21"/>
              <w:rFonts w:hint="eastAsia" w:ascii="宋体" w:hAnsi="宋体" w:cs="宋体"/>
              <w:color w:val="auto"/>
            </w:rPr>
            <w:t>第二章 价值评估</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_Toc212564860 \h </w:instrText>
          </w:r>
          <w:r>
            <w:rPr>
              <w:rFonts w:hint="eastAsia" w:ascii="宋体" w:hAnsi="宋体" w:cs="宋体"/>
            </w:rPr>
            <w:fldChar w:fldCharType="separate"/>
          </w:r>
          <w:r>
            <w:rPr>
              <w:rFonts w:hint="eastAsia" w:ascii="宋体" w:hAnsi="宋体" w:cs="宋体"/>
            </w:rPr>
            <w:t>7</w:t>
          </w:r>
          <w:r>
            <w:rPr>
              <w:rFonts w:hint="eastAsia" w:ascii="宋体" w:hAnsi="宋体" w:cs="宋体"/>
            </w:rPr>
            <w:fldChar w:fldCharType="end"/>
          </w:r>
          <w:r>
            <w:rPr>
              <w:rFonts w:hint="eastAsia" w:ascii="宋体" w:hAnsi="宋体" w:cs="宋体"/>
            </w:rPr>
            <w:fldChar w:fldCharType="end"/>
          </w:r>
        </w:p>
        <w:p w14:paraId="28914A15">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"_Toc212564861" </w:instrText>
          </w:r>
          <w:r>
            <w:fldChar w:fldCharType="separate"/>
          </w:r>
          <w:r>
            <w:rPr>
              <w:rStyle w:val="21"/>
              <w:rFonts w:hint="eastAsia" w:ascii="宋体" w:hAnsi="宋体" w:cs="宋体"/>
              <w:color w:val="auto"/>
            </w:rPr>
            <w:t>2.1 价值评估</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_Toc212564861 \h </w:instrText>
          </w:r>
          <w:r>
            <w:rPr>
              <w:rFonts w:hint="eastAsia" w:ascii="宋体" w:hAnsi="宋体" w:cs="宋体"/>
            </w:rPr>
            <w:fldChar w:fldCharType="separate"/>
          </w:r>
          <w:r>
            <w:rPr>
              <w:rFonts w:hint="eastAsia" w:ascii="宋体" w:hAnsi="宋体" w:cs="宋体"/>
            </w:rPr>
            <w:t>7</w:t>
          </w:r>
          <w:r>
            <w:rPr>
              <w:rFonts w:hint="eastAsia" w:ascii="宋体" w:hAnsi="宋体" w:cs="宋体"/>
            </w:rPr>
            <w:fldChar w:fldCharType="end"/>
          </w:r>
          <w:r>
            <w:rPr>
              <w:rFonts w:hint="eastAsia" w:ascii="宋体" w:hAnsi="宋体" w:cs="宋体"/>
            </w:rPr>
            <w:fldChar w:fldCharType="end"/>
          </w:r>
        </w:p>
        <w:p w14:paraId="68D3BED9">
          <w:pPr>
            <w:pStyle w:val="13"/>
            <w:tabs>
              <w:tab w:val="right" w:leader="dot" w:pos="8296"/>
            </w:tabs>
            <w:spacing w:line="312" w:lineRule="auto"/>
            <w:ind w:firstLine="480"/>
            <w:rPr>
              <w:rFonts w:hint="eastAsia" w:ascii="宋体" w:hAnsi="宋体" w:cs="宋体"/>
            </w:rPr>
          </w:pPr>
          <w:r>
            <w:fldChar w:fldCharType="begin"/>
          </w:r>
          <w:r>
            <w:instrText xml:space="preserve"> HYPERLINK \l "_Toc212564862" </w:instrText>
          </w:r>
          <w:r>
            <w:fldChar w:fldCharType="separate"/>
          </w:r>
          <w:r>
            <w:rPr>
              <w:rStyle w:val="21"/>
              <w:rFonts w:hint="eastAsia" w:ascii="宋体" w:hAnsi="宋体" w:cs="宋体"/>
              <w:color w:val="auto"/>
            </w:rPr>
            <w:t>第三章 资源禀赋</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_Toc212564862 \h </w:instrText>
          </w:r>
          <w:r>
            <w:rPr>
              <w:rFonts w:hint="eastAsia" w:ascii="宋体" w:hAnsi="宋体" w:cs="宋体"/>
            </w:rPr>
            <w:fldChar w:fldCharType="separate"/>
          </w:r>
          <w:r>
            <w:rPr>
              <w:rFonts w:hint="eastAsia" w:ascii="宋体" w:hAnsi="宋体" w:cs="宋体"/>
            </w:rPr>
            <w:t>8</w:t>
          </w:r>
          <w:r>
            <w:rPr>
              <w:rFonts w:hint="eastAsia" w:ascii="宋体" w:hAnsi="宋体" w:cs="宋体"/>
            </w:rPr>
            <w:fldChar w:fldCharType="end"/>
          </w:r>
          <w:r>
            <w:rPr>
              <w:rFonts w:hint="eastAsia" w:ascii="宋体" w:hAnsi="宋体" w:cs="宋体"/>
            </w:rPr>
            <w:fldChar w:fldCharType="end"/>
          </w:r>
        </w:p>
        <w:p w14:paraId="1E4D8604">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"_Toc212564863" </w:instrText>
          </w:r>
          <w:r>
            <w:fldChar w:fldCharType="separate"/>
          </w:r>
          <w:r>
            <w:rPr>
              <w:rStyle w:val="21"/>
              <w:rFonts w:hint="eastAsia" w:ascii="宋体" w:hAnsi="宋体" w:cs="宋体"/>
              <w:color w:val="auto"/>
            </w:rPr>
            <w:t>3.1 本溪抗联遗址遗迹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_Toc212564863 \h </w:instrText>
          </w:r>
          <w:r>
            <w:rPr>
              <w:rFonts w:hint="eastAsia" w:ascii="宋体" w:hAnsi="宋体" w:cs="宋体"/>
            </w:rPr>
            <w:fldChar w:fldCharType="separate"/>
          </w:r>
          <w:r>
            <w:rPr>
              <w:rFonts w:hint="eastAsia" w:ascii="宋体" w:hAnsi="宋体" w:cs="宋体"/>
            </w:rPr>
            <w:t>8</w:t>
          </w:r>
          <w:r>
            <w:rPr>
              <w:rFonts w:hint="eastAsia" w:ascii="宋体" w:hAnsi="宋体" w:cs="宋体"/>
            </w:rPr>
            <w:fldChar w:fldCharType="end"/>
          </w:r>
          <w:r>
            <w:rPr>
              <w:rFonts w:hint="eastAsia" w:ascii="宋体" w:hAnsi="宋体" w:cs="宋体"/>
            </w:rPr>
            <w:fldChar w:fldCharType="end"/>
          </w:r>
        </w:p>
        <w:p w14:paraId="1F1B129C">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"_Toc212564864" </w:instrText>
          </w:r>
          <w:r>
            <w:fldChar w:fldCharType="separate"/>
          </w:r>
          <w:r>
            <w:rPr>
              <w:rStyle w:val="21"/>
              <w:rFonts w:hint="eastAsia" w:ascii="宋体" w:hAnsi="宋体" w:cs="宋体"/>
              <w:color w:val="auto"/>
            </w:rPr>
            <w:t>3.2 相关资源</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_Toc212564864 \h </w:instrText>
          </w:r>
          <w:r>
            <w:rPr>
              <w:rFonts w:hint="eastAsia" w:ascii="宋体" w:hAnsi="宋体" w:cs="宋体"/>
            </w:rPr>
            <w:fldChar w:fldCharType="separate"/>
          </w:r>
          <w:r>
            <w:rPr>
              <w:rFonts w:hint="eastAsia" w:ascii="宋体" w:hAnsi="宋体" w:cs="宋体"/>
            </w:rPr>
            <w:t>10</w:t>
          </w:r>
          <w:r>
            <w:rPr>
              <w:rFonts w:hint="eastAsia" w:ascii="宋体" w:hAnsi="宋体" w:cs="宋体"/>
            </w:rPr>
            <w:fldChar w:fldCharType="end"/>
          </w:r>
          <w:r>
            <w:rPr>
              <w:rFonts w:hint="eastAsia" w:ascii="宋体" w:hAnsi="宋体" w:cs="宋体"/>
            </w:rPr>
            <w:fldChar w:fldCharType="end"/>
          </w:r>
        </w:p>
        <w:p w14:paraId="6CA5A543">
          <w:pPr>
            <w:pStyle w:val="13"/>
            <w:tabs>
              <w:tab w:val="right" w:leader="dot" w:pos="8296"/>
            </w:tabs>
            <w:spacing w:line="312" w:lineRule="auto"/>
            <w:ind w:firstLine="480"/>
            <w:rPr>
              <w:rFonts w:hint="eastAsia" w:ascii="宋体" w:hAnsi="宋体" w:cs="宋体"/>
            </w:rPr>
          </w:pPr>
          <w:r>
            <w:fldChar w:fldCharType="begin"/>
          </w:r>
          <w:r>
            <w:instrText xml:space="preserve"> HYPERLINK \l "_Toc212564865" </w:instrText>
          </w:r>
          <w:r>
            <w:fldChar w:fldCharType="separate"/>
          </w:r>
          <w:r>
            <w:rPr>
              <w:rStyle w:val="21"/>
              <w:rFonts w:hint="eastAsia" w:ascii="宋体" w:hAnsi="宋体" w:cs="宋体"/>
              <w:color w:val="auto"/>
            </w:rPr>
            <w:t>第四章 总体思路</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_Toc212564865 \h </w:instrText>
          </w:r>
          <w:r>
            <w:rPr>
              <w:rFonts w:hint="eastAsia" w:ascii="宋体" w:hAnsi="宋体" w:cs="宋体"/>
            </w:rPr>
            <w:fldChar w:fldCharType="separate"/>
          </w:r>
          <w:r>
            <w:rPr>
              <w:rFonts w:hint="eastAsia" w:ascii="宋体" w:hAnsi="宋体" w:cs="宋体"/>
            </w:rPr>
            <w:t>10</w:t>
          </w:r>
          <w:r>
            <w:rPr>
              <w:rFonts w:hint="eastAsia" w:ascii="宋体" w:hAnsi="宋体" w:cs="宋体"/>
            </w:rPr>
            <w:fldChar w:fldCharType="end"/>
          </w:r>
          <w:r>
            <w:rPr>
              <w:rFonts w:hint="eastAsia" w:ascii="宋体" w:hAnsi="宋体" w:cs="宋体"/>
            </w:rPr>
            <w:fldChar w:fldCharType="end"/>
          </w:r>
        </w:p>
        <w:p w14:paraId="29C1FD31">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"_Toc212564866" </w:instrText>
          </w:r>
          <w:r>
            <w:fldChar w:fldCharType="separate"/>
          </w:r>
          <w:r>
            <w:rPr>
              <w:rStyle w:val="21"/>
              <w:rFonts w:hint="eastAsia" w:ascii="宋体" w:hAnsi="宋体" w:cs="宋体"/>
              <w:color w:val="auto"/>
            </w:rPr>
            <w:t>4.1 规划目标</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_Toc212564866 \h </w:instrText>
          </w:r>
          <w:r>
            <w:rPr>
              <w:rFonts w:hint="eastAsia" w:ascii="宋体" w:hAnsi="宋体" w:cs="宋体"/>
            </w:rPr>
            <w:fldChar w:fldCharType="separate"/>
          </w:r>
          <w:r>
            <w:rPr>
              <w:rFonts w:hint="eastAsia" w:ascii="宋体" w:hAnsi="宋体" w:cs="宋体"/>
            </w:rPr>
            <w:t>10</w:t>
          </w:r>
          <w:r>
            <w:rPr>
              <w:rFonts w:hint="eastAsia" w:ascii="宋体" w:hAnsi="宋体" w:cs="宋体"/>
            </w:rPr>
            <w:fldChar w:fldCharType="end"/>
          </w:r>
          <w:r>
            <w:rPr>
              <w:rFonts w:hint="eastAsia" w:ascii="宋体" w:hAnsi="宋体" w:cs="宋体"/>
            </w:rPr>
            <w:fldChar w:fldCharType="end"/>
          </w:r>
        </w:p>
        <w:p w14:paraId="121B1267">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"_Toc212564867" </w:instrText>
          </w:r>
          <w:r>
            <w:fldChar w:fldCharType="separate"/>
          </w:r>
          <w:r>
            <w:rPr>
              <w:rStyle w:val="21"/>
              <w:rFonts w:hint="eastAsia" w:ascii="宋体" w:hAnsi="宋体" w:cs="宋体"/>
              <w:color w:val="auto"/>
            </w:rPr>
            <w:t>4.2 建设定位</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_Toc212564867 \h </w:instrText>
          </w:r>
          <w:r>
            <w:rPr>
              <w:rFonts w:hint="eastAsia" w:ascii="宋体" w:hAnsi="宋体" w:cs="宋体"/>
            </w:rPr>
            <w:fldChar w:fldCharType="separate"/>
          </w:r>
          <w:r>
            <w:rPr>
              <w:rFonts w:hint="eastAsia" w:ascii="宋体" w:hAnsi="宋体" w:cs="宋体"/>
            </w:rPr>
            <w:t>11</w:t>
          </w:r>
          <w:r>
            <w:rPr>
              <w:rFonts w:hint="eastAsia" w:ascii="宋体" w:hAnsi="宋体" w:cs="宋体"/>
            </w:rPr>
            <w:fldChar w:fldCharType="end"/>
          </w:r>
          <w:r>
            <w:rPr>
              <w:rFonts w:hint="eastAsia" w:ascii="宋体" w:hAnsi="宋体" w:cs="宋体"/>
            </w:rPr>
            <w:fldChar w:fldCharType="end"/>
          </w:r>
        </w:p>
        <w:p w14:paraId="339DA57A">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"_Toc212564868" </w:instrText>
          </w:r>
          <w:r>
            <w:fldChar w:fldCharType="separate"/>
          </w:r>
          <w:r>
            <w:rPr>
              <w:rStyle w:val="21"/>
              <w:rFonts w:hint="eastAsia" w:ascii="宋体" w:hAnsi="宋体" w:cs="宋体"/>
              <w:color w:val="auto"/>
            </w:rPr>
            <w:t>4.3 重点举措</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_Toc212564868 \h </w:instrText>
          </w:r>
          <w:r>
            <w:rPr>
              <w:rFonts w:hint="eastAsia" w:ascii="宋体" w:hAnsi="宋体" w:cs="宋体"/>
            </w:rPr>
            <w:fldChar w:fldCharType="separate"/>
          </w:r>
          <w:r>
            <w:rPr>
              <w:rFonts w:hint="eastAsia" w:ascii="宋体" w:hAnsi="宋体" w:cs="宋体"/>
            </w:rPr>
            <w:t>11</w:t>
          </w:r>
          <w:r>
            <w:rPr>
              <w:rFonts w:hint="eastAsia" w:ascii="宋体" w:hAnsi="宋体" w:cs="宋体"/>
            </w:rPr>
            <w:fldChar w:fldCharType="end"/>
          </w:r>
          <w:r>
            <w:rPr>
              <w:rFonts w:hint="eastAsia" w:ascii="宋体" w:hAnsi="宋体" w:cs="宋体"/>
            </w:rPr>
            <w:fldChar w:fldCharType="end"/>
          </w:r>
        </w:p>
        <w:p w14:paraId="41E20BAB">
          <w:pPr>
            <w:pStyle w:val="13"/>
            <w:tabs>
              <w:tab w:val="right" w:leader="dot" w:pos="8296"/>
            </w:tabs>
            <w:spacing w:line="312" w:lineRule="auto"/>
            <w:ind w:firstLine="480"/>
            <w:rPr>
              <w:rFonts w:hint="eastAsia" w:ascii="宋体" w:hAnsi="宋体" w:cs="宋体"/>
            </w:rPr>
          </w:pPr>
          <w:r>
            <w:fldChar w:fldCharType="begin"/>
          </w:r>
          <w:r>
            <w:instrText xml:space="preserve"> HYPERLINK \l "_Toc212564869" </w:instrText>
          </w:r>
          <w:r>
            <w:fldChar w:fldCharType="separate"/>
          </w:r>
          <w:r>
            <w:rPr>
              <w:rStyle w:val="21"/>
              <w:rFonts w:hint="eastAsia" w:ascii="宋体" w:hAnsi="宋体" w:cs="宋体"/>
              <w:color w:val="auto"/>
            </w:rPr>
            <w:t>第五章 提升抗联文物保护水平</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_Toc212564869 \h </w:instrText>
          </w:r>
          <w:r>
            <w:rPr>
              <w:rFonts w:hint="eastAsia" w:ascii="宋体" w:hAnsi="宋体" w:cs="宋体"/>
            </w:rPr>
            <w:fldChar w:fldCharType="separate"/>
          </w:r>
          <w:r>
            <w:rPr>
              <w:rFonts w:hint="eastAsia" w:ascii="宋体" w:hAnsi="宋体" w:cs="宋体"/>
            </w:rPr>
            <w:t>12</w:t>
          </w:r>
          <w:r>
            <w:rPr>
              <w:rFonts w:hint="eastAsia" w:ascii="宋体" w:hAnsi="宋体" w:cs="宋体"/>
            </w:rPr>
            <w:fldChar w:fldCharType="end"/>
          </w:r>
          <w:r>
            <w:rPr>
              <w:rFonts w:hint="eastAsia" w:ascii="宋体" w:hAnsi="宋体" w:cs="宋体"/>
            </w:rPr>
            <w:fldChar w:fldCharType="end"/>
          </w:r>
        </w:p>
        <w:p w14:paraId="17E66A80">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"_Toc212564870" </w:instrText>
          </w:r>
          <w:r>
            <w:fldChar w:fldCharType="separate"/>
          </w:r>
          <w:r>
            <w:rPr>
              <w:rStyle w:val="21"/>
              <w:rFonts w:hint="eastAsia" w:ascii="宋体" w:hAnsi="宋体" w:cs="宋体"/>
              <w:color w:val="auto"/>
            </w:rPr>
            <w:t>5.1 结合四普深化调查研究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_Toc212564870 \h </w:instrText>
          </w:r>
          <w:r>
            <w:rPr>
              <w:rFonts w:hint="eastAsia" w:ascii="宋体" w:hAnsi="宋体" w:cs="宋体"/>
            </w:rPr>
            <w:fldChar w:fldCharType="separate"/>
          </w:r>
          <w:r>
            <w:rPr>
              <w:rFonts w:hint="eastAsia" w:ascii="宋体" w:hAnsi="宋体" w:cs="宋体"/>
            </w:rPr>
            <w:t>12</w:t>
          </w:r>
          <w:r>
            <w:rPr>
              <w:rFonts w:hint="eastAsia" w:ascii="宋体" w:hAnsi="宋体" w:cs="宋体"/>
            </w:rPr>
            <w:fldChar w:fldCharType="end"/>
          </w:r>
          <w:r>
            <w:rPr>
              <w:rFonts w:hint="eastAsia" w:ascii="宋体" w:hAnsi="宋体" w:cs="宋体"/>
            </w:rPr>
            <w:fldChar w:fldCharType="end"/>
          </w:r>
        </w:p>
        <w:p w14:paraId="7D907FFF">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"_Toc212564871" </w:instrText>
          </w:r>
          <w:r>
            <w:fldChar w:fldCharType="separate"/>
          </w:r>
          <w:r>
            <w:rPr>
              <w:rStyle w:val="21"/>
              <w:rFonts w:hint="eastAsia" w:ascii="宋体" w:hAnsi="宋体" w:cs="宋体"/>
              <w:color w:val="auto"/>
            </w:rPr>
            <w:t>5.2 申报全国重点文物保护单位</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_Toc212564871 \h </w:instrText>
          </w:r>
          <w:r>
            <w:rPr>
              <w:rFonts w:hint="eastAsia" w:ascii="宋体" w:hAnsi="宋体" w:cs="宋体"/>
            </w:rPr>
            <w:fldChar w:fldCharType="separate"/>
          </w:r>
          <w:r>
            <w:rPr>
              <w:rFonts w:hint="eastAsia" w:ascii="宋体" w:hAnsi="宋体" w:cs="宋体"/>
            </w:rPr>
            <w:t>13</w:t>
          </w:r>
          <w:r>
            <w:rPr>
              <w:rFonts w:hint="eastAsia" w:ascii="宋体" w:hAnsi="宋体" w:cs="宋体"/>
            </w:rPr>
            <w:fldChar w:fldCharType="end"/>
          </w:r>
          <w:r>
            <w:rPr>
              <w:rFonts w:hint="eastAsia" w:ascii="宋体" w:hAnsi="宋体" w:cs="宋体"/>
            </w:rPr>
            <w:fldChar w:fldCharType="end"/>
          </w:r>
        </w:p>
        <w:p w14:paraId="2B8B4F20">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"_Toc212564872" </w:instrText>
          </w:r>
          <w:r>
            <w:fldChar w:fldCharType="separate"/>
          </w:r>
          <w:r>
            <w:rPr>
              <w:rStyle w:val="21"/>
              <w:rFonts w:hint="eastAsia" w:ascii="宋体" w:hAnsi="宋体" w:cs="宋体"/>
              <w:color w:val="auto"/>
            </w:rPr>
            <w:t>5.3 夯实保护管理基础</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_Toc212564872 \h </w:instrText>
          </w:r>
          <w:r>
            <w:rPr>
              <w:rFonts w:hint="eastAsia" w:ascii="宋体" w:hAnsi="宋体" w:cs="宋体"/>
            </w:rPr>
            <w:fldChar w:fldCharType="separate"/>
          </w:r>
          <w:r>
            <w:rPr>
              <w:rFonts w:hint="eastAsia" w:ascii="宋体" w:hAnsi="宋体" w:cs="宋体"/>
            </w:rPr>
            <w:t>13</w:t>
          </w:r>
          <w:r>
            <w:rPr>
              <w:rFonts w:hint="eastAsia" w:ascii="宋体" w:hAnsi="宋体" w:cs="宋体"/>
            </w:rPr>
            <w:fldChar w:fldCharType="end"/>
          </w:r>
          <w:r>
            <w:rPr>
              <w:rFonts w:hint="eastAsia" w:ascii="宋体" w:hAnsi="宋体" w:cs="宋体"/>
            </w:rPr>
            <w:fldChar w:fldCharType="end"/>
          </w:r>
        </w:p>
        <w:p w14:paraId="1A675146">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"_Toc212564873" </w:instrText>
          </w:r>
          <w:r>
            <w:fldChar w:fldCharType="separate"/>
          </w:r>
          <w:r>
            <w:rPr>
              <w:rStyle w:val="21"/>
              <w:rFonts w:hint="eastAsia" w:ascii="宋体" w:hAnsi="宋体" w:cs="宋体"/>
              <w:color w:val="auto"/>
            </w:rPr>
            <w:t>5.4 有序推进文物保护工程</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_Toc212564873 \h </w:instrText>
          </w:r>
          <w:r>
            <w:rPr>
              <w:rFonts w:hint="eastAsia" w:ascii="宋体" w:hAnsi="宋体" w:cs="宋体"/>
            </w:rPr>
            <w:fldChar w:fldCharType="separate"/>
          </w:r>
          <w:r>
            <w:rPr>
              <w:rFonts w:hint="eastAsia" w:ascii="宋体" w:hAnsi="宋体" w:cs="宋体"/>
            </w:rPr>
            <w:t>14</w:t>
          </w:r>
          <w:r>
            <w:rPr>
              <w:rFonts w:hint="eastAsia" w:ascii="宋体" w:hAnsi="宋体" w:cs="宋体"/>
            </w:rPr>
            <w:fldChar w:fldCharType="end"/>
          </w:r>
          <w:r>
            <w:rPr>
              <w:rFonts w:hint="eastAsia" w:ascii="宋体" w:hAnsi="宋体" w:cs="宋体"/>
            </w:rPr>
            <w:fldChar w:fldCharType="end"/>
          </w:r>
        </w:p>
        <w:p w14:paraId="08A5AB52">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"_Toc212564874" </w:instrText>
          </w:r>
          <w:r>
            <w:fldChar w:fldCharType="separate"/>
          </w:r>
          <w:r>
            <w:rPr>
              <w:rStyle w:val="21"/>
              <w:rFonts w:hint="eastAsia" w:ascii="宋体" w:hAnsi="宋体" w:cs="宋体"/>
              <w:color w:val="auto"/>
            </w:rPr>
            <w:t>5.5 加强可移动文物保护管理</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_Toc212564874 \h </w:instrText>
          </w:r>
          <w:r>
            <w:rPr>
              <w:rFonts w:hint="eastAsia" w:ascii="宋体" w:hAnsi="宋体" w:cs="宋体"/>
            </w:rPr>
            <w:fldChar w:fldCharType="separate"/>
          </w:r>
          <w:r>
            <w:rPr>
              <w:rFonts w:hint="eastAsia" w:ascii="宋体" w:hAnsi="宋体" w:cs="宋体"/>
            </w:rPr>
            <w:t>15</w:t>
          </w:r>
          <w:r>
            <w:rPr>
              <w:rFonts w:hint="eastAsia" w:ascii="宋体" w:hAnsi="宋体" w:cs="宋体"/>
            </w:rPr>
            <w:fldChar w:fldCharType="end"/>
          </w:r>
          <w:r>
            <w:rPr>
              <w:rFonts w:hint="eastAsia" w:ascii="宋体" w:hAnsi="宋体" w:cs="宋体"/>
            </w:rPr>
            <w:fldChar w:fldCharType="end"/>
          </w:r>
        </w:p>
        <w:p w14:paraId="56AA27CD">
          <w:pPr>
            <w:pStyle w:val="13"/>
            <w:tabs>
              <w:tab w:val="right" w:leader="dot" w:pos="8296"/>
            </w:tabs>
            <w:spacing w:line="312" w:lineRule="auto"/>
            <w:ind w:firstLine="480"/>
            <w:rPr>
              <w:rFonts w:hint="eastAsia" w:ascii="宋体" w:hAnsi="宋体" w:cs="宋体"/>
            </w:rPr>
          </w:pPr>
          <w:r>
            <w:fldChar w:fldCharType="begin"/>
          </w:r>
          <w:r>
            <w:instrText xml:space="preserve"> HYPERLINK \l "_Toc212564875" </w:instrText>
          </w:r>
          <w:r>
            <w:fldChar w:fldCharType="separate"/>
          </w:r>
          <w:r>
            <w:rPr>
              <w:rStyle w:val="21"/>
              <w:rFonts w:hint="eastAsia" w:ascii="宋体" w:hAnsi="宋体" w:cs="宋体"/>
              <w:color w:val="auto"/>
            </w:rPr>
            <w:t>第六章 构建抗联文物展示阐释体系</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_Toc212564875 \h </w:instrText>
          </w:r>
          <w:r>
            <w:rPr>
              <w:rFonts w:hint="eastAsia" w:ascii="宋体" w:hAnsi="宋体" w:cs="宋体"/>
            </w:rPr>
            <w:fldChar w:fldCharType="separate"/>
          </w:r>
          <w:r>
            <w:rPr>
              <w:rFonts w:hint="eastAsia" w:ascii="宋体" w:hAnsi="宋体" w:cs="宋体"/>
            </w:rPr>
            <w:t>16</w:t>
          </w:r>
          <w:r>
            <w:rPr>
              <w:rFonts w:hint="eastAsia" w:ascii="宋体" w:hAnsi="宋体" w:cs="宋体"/>
            </w:rPr>
            <w:fldChar w:fldCharType="end"/>
          </w:r>
          <w:r>
            <w:rPr>
              <w:rFonts w:hint="eastAsia" w:ascii="宋体" w:hAnsi="宋体" w:cs="宋体"/>
            </w:rPr>
            <w:fldChar w:fldCharType="end"/>
          </w:r>
        </w:p>
        <w:p w14:paraId="58C5DA75">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"_Toc212564876" </w:instrText>
          </w:r>
          <w:r>
            <w:fldChar w:fldCharType="separate"/>
          </w:r>
          <w:r>
            <w:rPr>
              <w:rStyle w:val="21"/>
              <w:rFonts w:hint="eastAsia" w:ascii="宋体" w:hAnsi="宋体" w:cs="宋体"/>
              <w:color w:val="auto"/>
            </w:rPr>
            <w:t>6.1 构建展示阐释体系</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_Toc212564876 \h </w:instrText>
          </w:r>
          <w:r>
            <w:rPr>
              <w:rFonts w:hint="eastAsia" w:ascii="宋体" w:hAnsi="宋体" w:cs="宋体"/>
            </w:rPr>
            <w:fldChar w:fldCharType="separate"/>
          </w:r>
          <w:r>
            <w:rPr>
              <w:rFonts w:hint="eastAsia" w:ascii="宋体" w:hAnsi="宋体" w:cs="宋体"/>
            </w:rPr>
            <w:t>16</w:t>
          </w:r>
          <w:r>
            <w:rPr>
              <w:rFonts w:hint="eastAsia" w:ascii="宋体" w:hAnsi="宋体" w:cs="宋体"/>
            </w:rPr>
            <w:fldChar w:fldCharType="end"/>
          </w:r>
          <w:r>
            <w:rPr>
              <w:rFonts w:hint="eastAsia" w:ascii="宋体" w:hAnsi="宋体" w:cs="宋体"/>
            </w:rPr>
            <w:fldChar w:fldCharType="end"/>
          </w:r>
        </w:p>
        <w:p w14:paraId="395AA56D">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"_Toc212564877" </w:instrText>
          </w:r>
          <w:r>
            <w:fldChar w:fldCharType="separate"/>
          </w:r>
          <w:r>
            <w:rPr>
              <w:rStyle w:val="21"/>
              <w:rFonts w:hint="eastAsia" w:ascii="宋体" w:hAnsi="宋体" w:cs="宋体"/>
              <w:color w:val="auto"/>
            </w:rPr>
            <w:t>6.2 完善标识导览系统</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_Toc212564877 \h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r>
            <w:rPr>
              <w:rFonts w:hint="eastAsia" w:ascii="宋体" w:hAnsi="宋体" w:cs="宋体"/>
            </w:rPr>
            <w:fldChar w:fldCharType="end"/>
          </w:r>
        </w:p>
        <w:p w14:paraId="65892827">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"_Toc212564878" </w:instrText>
          </w:r>
          <w:r>
            <w:fldChar w:fldCharType="separate"/>
          </w:r>
          <w:r>
            <w:rPr>
              <w:rStyle w:val="21"/>
              <w:rFonts w:hint="eastAsia" w:ascii="宋体" w:hAnsi="宋体" w:cs="宋体"/>
              <w:color w:val="auto"/>
            </w:rPr>
            <w:t>6.3 加强宣传推广</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_Toc212564878 \h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r>
            <w:rPr>
              <w:rFonts w:hint="eastAsia" w:ascii="宋体" w:hAnsi="宋体" w:cs="宋体"/>
            </w:rPr>
            <w:fldChar w:fldCharType="end"/>
          </w:r>
        </w:p>
        <w:p w14:paraId="59D64D0A">
          <w:pPr>
            <w:pStyle w:val="13"/>
            <w:tabs>
              <w:tab w:val="right" w:leader="dot" w:pos="8296"/>
            </w:tabs>
            <w:spacing w:line="312" w:lineRule="auto"/>
            <w:ind w:firstLine="480"/>
            <w:rPr>
              <w:rFonts w:hint="eastAsia" w:ascii="宋体" w:hAnsi="宋体" w:cs="宋体"/>
            </w:rPr>
          </w:pPr>
          <w:r>
            <w:fldChar w:fldCharType="begin"/>
          </w:r>
          <w:r>
            <w:instrText xml:space="preserve"> HYPERLINK \l "_Toc212564879" </w:instrText>
          </w:r>
          <w:r>
            <w:fldChar w:fldCharType="separate"/>
          </w:r>
          <w:r>
            <w:rPr>
              <w:rStyle w:val="21"/>
              <w:rFonts w:hint="eastAsia" w:ascii="宋体" w:hAnsi="宋体" w:cs="宋体"/>
              <w:color w:val="auto"/>
            </w:rPr>
            <w:t>第七章 探索抗联文物管理模式创新</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_Toc212564879 \h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r>
            <w:rPr>
              <w:rFonts w:hint="eastAsia" w:ascii="宋体" w:hAnsi="宋体" w:cs="宋体"/>
            </w:rPr>
            <w:fldChar w:fldCharType="end"/>
          </w:r>
        </w:p>
        <w:p w14:paraId="0D564F8E">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"_Toc212564880" </w:instrText>
          </w:r>
          <w:r>
            <w:fldChar w:fldCharType="separate"/>
          </w:r>
          <w:r>
            <w:rPr>
              <w:rStyle w:val="21"/>
              <w:rFonts w:hint="eastAsia" w:ascii="宋体" w:hAnsi="宋体" w:cs="宋体"/>
              <w:color w:val="auto"/>
            </w:rPr>
            <w:t>7.1 探索部门协同管理模式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_Toc212564880 \h </w:instrText>
          </w:r>
          <w:r>
            <w:rPr>
              <w:rFonts w:hint="eastAsia" w:ascii="宋体" w:hAnsi="宋体" w:cs="宋体"/>
            </w:rPr>
            <w:fldChar w:fldCharType="separate"/>
          </w:r>
          <w:r>
            <w:rPr>
              <w:rFonts w:hint="eastAsia" w:ascii="宋体" w:hAnsi="宋体" w:cs="宋体"/>
            </w:rPr>
            <w:t>25</w:t>
          </w:r>
          <w:r>
            <w:rPr>
              <w:rFonts w:hint="eastAsia" w:ascii="宋体" w:hAnsi="宋体" w:cs="宋体"/>
            </w:rPr>
            <w:fldChar w:fldCharType="end"/>
          </w:r>
          <w:r>
            <w:rPr>
              <w:rFonts w:hint="eastAsia" w:ascii="宋体" w:hAnsi="宋体" w:cs="宋体"/>
            </w:rPr>
            <w:fldChar w:fldCharType="end"/>
          </w:r>
        </w:p>
        <w:p w14:paraId="4336A2AC">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"_Toc212564881" </w:instrText>
          </w:r>
          <w:r>
            <w:fldChar w:fldCharType="separate"/>
          </w:r>
          <w:r>
            <w:rPr>
              <w:rStyle w:val="21"/>
              <w:rFonts w:hint="eastAsia" w:ascii="宋体" w:hAnsi="宋体" w:cs="宋体"/>
              <w:color w:val="auto"/>
            </w:rPr>
            <w:t>7.2 探索政企合作管理模式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_Toc212564881 \h </w:instrText>
          </w:r>
          <w:r>
            <w:rPr>
              <w:rFonts w:hint="eastAsia" w:ascii="宋体" w:hAnsi="宋体" w:cs="宋体"/>
            </w:rPr>
            <w:fldChar w:fldCharType="separate"/>
          </w:r>
          <w:r>
            <w:rPr>
              <w:rFonts w:hint="eastAsia" w:ascii="宋体" w:hAnsi="宋体" w:cs="宋体"/>
            </w:rPr>
            <w:t>25</w:t>
          </w:r>
          <w:r>
            <w:rPr>
              <w:rFonts w:hint="eastAsia" w:ascii="宋体" w:hAnsi="宋体" w:cs="宋体"/>
            </w:rPr>
            <w:fldChar w:fldCharType="end"/>
          </w:r>
          <w:r>
            <w:rPr>
              <w:rFonts w:hint="eastAsia" w:ascii="宋体" w:hAnsi="宋体" w:cs="宋体"/>
            </w:rPr>
            <w:fldChar w:fldCharType="end"/>
          </w:r>
        </w:p>
        <w:p w14:paraId="220B8125">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"_Toc212564882" </w:instrText>
          </w:r>
          <w:r>
            <w:fldChar w:fldCharType="separate"/>
          </w:r>
          <w:r>
            <w:rPr>
              <w:rStyle w:val="21"/>
              <w:rFonts w:hint="eastAsia" w:ascii="宋体" w:hAnsi="宋体" w:cs="宋体"/>
              <w:color w:val="auto"/>
            </w:rPr>
            <w:t>7.3 提升抗联遗址遗迹管理水平</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_Toc212564882 \h </w:instrText>
          </w:r>
          <w:r>
            <w:rPr>
              <w:rFonts w:hint="eastAsia" w:ascii="宋体" w:hAnsi="宋体" w:cs="宋体"/>
            </w:rPr>
            <w:fldChar w:fldCharType="separate"/>
          </w:r>
          <w:r>
            <w:rPr>
              <w:rFonts w:hint="eastAsia" w:ascii="宋体" w:hAnsi="宋体" w:cs="宋体"/>
            </w:rPr>
            <w:t>25</w:t>
          </w:r>
          <w:r>
            <w:rPr>
              <w:rFonts w:hint="eastAsia" w:ascii="宋体" w:hAnsi="宋体" w:cs="宋体"/>
            </w:rPr>
            <w:fldChar w:fldCharType="end"/>
          </w:r>
          <w:r>
            <w:rPr>
              <w:rFonts w:hint="eastAsia" w:ascii="宋体" w:hAnsi="宋体" w:cs="宋体"/>
            </w:rPr>
            <w:fldChar w:fldCharType="end"/>
          </w:r>
        </w:p>
        <w:p w14:paraId="2E66280F">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"_Toc212564883" </w:instrText>
          </w:r>
          <w:r>
            <w:fldChar w:fldCharType="separate"/>
          </w:r>
          <w:r>
            <w:rPr>
              <w:rStyle w:val="21"/>
              <w:rFonts w:hint="eastAsia" w:ascii="宋体" w:hAnsi="宋体" w:cs="宋体"/>
              <w:color w:val="auto"/>
            </w:rPr>
            <w:t>7.4 建立抗联遗址遗迹综合数字管理平台</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_Toc212564883 \h </w:instrText>
          </w:r>
          <w:r>
            <w:rPr>
              <w:rFonts w:hint="eastAsia" w:ascii="宋体" w:hAnsi="宋体" w:cs="宋体"/>
            </w:rPr>
            <w:fldChar w:fldCharType="separate"/>
          </w:r>
          <w:r>
            <w:rPr>
              <w:rFonts w:hint="eastAsia" w:ascii="宋体" w:hAnsi="宋体" w:cs="宋体"/>
            </w:rPr>
            <w:t>26</w:t>
          </w:r>
          <w:r>
            <w:rPr>
              <w:rFonts w:hint="eastAsia" w:ascii="宋体" w:hAnsi="宋体" w:cs="宋体"/>
            </w:rPr>
            <w:fldChar w:fldCharType="end"/>
          </w:r>
          <w:r>
            <w:rPr>
              <w:rFonts w:hint="eastAsia" w:ascii="宋体" w:hAnsi="宋体" w:cs="宋体"/>
            </w:rPr>
            <w:fldChar w:fldCharType="end"/>
          </w:r>
        </w:p>
        <w:p w14:paraId="201B8318">
          <w:pPr>
            <w:pStyle w:val="13"/>
            <w:tabs>
              <w:tab w:val="right" w:leader="dot" w:pos="8296"/>
            </w:tabs>
            <w:spacing w:line="312" w:lineRule="auto"/>
            <w:ind w:firstLine="480"/>
            <w:rPr>
              <w:rFonts w:hint="eastAsia" w:ascii="宋体" w:hAnsi="宋体" w:cs="宋体"/>
            </w:rPr>
          </w:pPr>
          <w:r>
            <w:fldChar w:fldCharType="begin"/>
          </w:r>
          <w:r>
            <w:instrText xml:space="preserve"> HYPERLINK \l "_Toc212564884" </w:instrText>
          </w:r>
          <w:r>
            <w:fldChar w:fldCharType="separate"/>
          </w:r>
          <w:r>
            <w:rPr>
              <w:rStyle w:val="21"/>
              <w:rFonts w:hint="eastAsia" w:ascii="宋体" w:hAnsi="宋体" w:cs="宋体"/>
              <w:color w:val="auto"/>
            </w:rPr>
            <w:t>第八章 提升红色研学教育品质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_Toc212564884 \h </w:instrText>
          </w:r>
          <w:r>
            <w:rPr>
              <w:rFonts w:hint="eastAsia" w:ascii="宋体" w:hAnsi="宋体" w:cs="宋体"/>
            </w:rPr>
            <w:fldChar w:fldCharType="separate"/>
          </w:r>
          <w:r>
            <w:rPr>
              <w:rFonts w:hint="eastAsia" w:ascii="宋体" w:hAnsi="宋体" w:cs="宋体"/>
            </w:rPr>
            <w:t>26</w:t>
          </w:r>
          <w:r>
            <w:rPr>
              <w:rFonts w:hint="eastAsia" w:ascii="宋体" w:hAnsi="宋体" w:cs="宋体"/>
            </w:rPr>
            <w:fldChar w:fldCharType="end"/>
          </w:r>
          <w:r>
            <w:rPr>
              <w:rFonts w:hint="eastAsia" w:ascii="宋体" w:hAnsi="宋体" w:cs="宋体"/>
            </w:rPr>
            <w:fldChar w:fldCharType="end"/>
          </w:r>
        </w:p>
        <w:p w14:paraId="5A80F9AC">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"_Toc212564885" </w:instrText>
          </w:r>
          <w:r>
            <w:fldChar w:fldCharType="separate"/>
          </w:r>
          <w:r>
            <w:rPr>
              <w:rStyle w:val="21"/>
              <w:rFonts w:hint="eastAsia" w:ascii="宋体" w:hAnsi="宋体" w:cs="宋体"/>
              <w:color w:val="auto"/>
            </w:rPr>
            <w:t>8.1 强化干部教育培训</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_Toc212564885 \h </w:instrText>
          </w:r>
          <w:r>
            <w:rPr>
              <w:rFonts w:hint="eastAsia" w:ascii="宋体" w:hAnsi="宋体" w:cs="宋体"/>
            </w:rPr>
            <w:fldChar w:fldCharType="separate"/>
          </w:r>
          <w:r>
            <w:rPr>
              <w:rFonts w:hint="eastAsia" w:ascii="宋体" w:hAnsi="宋体" w:cs="宋体"/>
            </w:rPr>
            <w:t>26</w:t>
          </w:r>
          <w:r>
            <w:rPr>
              <w:rFonts w:hint="eastAsia" w:ascii="宋体" w:hAnsi="宋体" w:cs="宋体"/>
            </w:rPr>
            <w:fldChar w:fldCharType="end"/>
          </w:r>
          <w:r>
            <w:rPr>
              <w:rFonts w:hint="eastAsia" w:ascii="宋体" w:hAnsi="宋体" w:cs="宋体"/>
            </w:rPr>
            <w:fldChar w:fldCharType="end"/>
          </w:r>
        </w:p>
        <w:p w14:paraId="20F7200A">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"_Toc212564886" </w:instrText>
          </w:r>
          <w:r>
            <w:fldChar w:fldCharType="separate"/>
          </w:r>
          <w:r>
            <w:rPr>
              <w:rStyle w:val="21"/>
              <w:rFonts w:hint="eastAsia" w:ascii="宋体" w:hAnsi="宋体" w:cs="宋体"/>
              <w:color w:val="auto"/>
            </w:rPr>
            <w:t>8.2 构建研学教育体系</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_Toc212564886 \h </w:instrText>
          </w:r>
          <w:r>
            <w:rPr>
              <w:rFonts w:hint="eastAsia" w:ascii="宋体" w:hAnsi="宋体" w:cs="宋体"/>
            </w:rPr>
            <w:fldChar w:fldCharType="separate"/>
          </w:r>
          <w:r>
            <w:rPr>
              <w:rFonts w:hint="eastAsia" w:ascii="宋体" w:hAnsi="宋体" w:cs="宋体"/>
            </w:rPr>
            <w:t>27</w:t>
          </w:r>
          <w:r>
            <w:rPr>
              <w:rFonts w:hint="eastAsia" w:ascii="宋体" w:hAnsi="宋体" w:cs="宋体"/>
            </w:rPr>
            <w:fldChar w:fldCharType="end"/>
          </w:r>
          <w:r>
            <w:rPr>
              <w:rFonts w:hint="eastAsia" w:ascii="宋体" w:hAnsi="宋体" w:cs="宋体"/>
            </w:rPr>
            <w:fldChar w:fldCharType="end"/>
          </w:r>
        </w:p>
        <w:p w14:paraId="4394F055">
          <w:pPr>
            <w:pStyle w:val="13"/>
            <w:tabs>
              <w:tab w:val="right" w:leader="dot" w:pos="8296"/>
            </w:tabs>
            <w:spacing w:line="312" w:lineRule="auto"/>
            <w:ind w:firstLine="480"/>
            <w:rPr>
              <w:rFonts w:hint="eastAsia" w:ascii="宋体" w:hAnsi="宋体" w:cs="宋体"/>
            </w:rPr>
          </w:pPr>
          <w:r>
            <w:fldChar w:fldCharType="begin"/>
          </w:r>
          <w:r>
            <w:instrText xml:space="preserve"> HYPERLINK \l "_Toc212564887" </w:instrText>
          </w:r>
          <w:r>
            <w:fldChar w:fldCharType="separate"/>
          </w:r>
          <w:r>
            <w:rPr>
              <w:rStyle w:val="21"/>
              <w:rFonts w:hint="eastAsia" w:ascii="宋体" w:hAnsi="宋体" w:cs="宋体"/>
              <w:color w:val="auto"/>
            </w:rPr>
            <w:t>第九章  塑造核心品牌与产品体系</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_Toc212564887 \h </w:instrText>
          </w:r>
          <w:r>
            <w:rPr>
              <w:rFonts w:hint="eastAsia" w:ascii="宋体" w:hAnsi="宋体" w:cs="宋体"/>
            </w:rPr>
            <w:fldChar w:fldCharType="separate"/>
          </w:r>
          <w:r>
            <w:rPr>
              <w:rFonts w:hint="eastAsia" w:ascii="宋体" w:hAnsi="宋体" w:cs="宋体"/>
            </w:rPr>
            <w:t>28</w:t>
          </w:r>
          <w:r>
            <w:rPr>
              <w:rFonts w:hint="eastAsia" w:ascii="宋体" w:hAnsi="宋体" w:cs="宋体"/>
            </w:rPr>
            <w:fldChar w:fldCharType="end"/>
          </w:r>
          <w:r>
            <w:rPr>
              <w:rFonts w:hint="eastAsia" w:ascii="宋体" w:hAnsi="宋体" w:cs="宋体"/>
            </w:rPr>
            <w:fldChar w:fldCharType="end"/>
          </w:r>
        </w:p>
        <w:p w14:paraId="43D4B868">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"_Toc212564888" </w:instrText>
          </w:r>
          <w:r>
            <w:fldChar w:fldCharType="separate"/>
          </w:r>
          <w:r>
            <w:rPr>
              <w:rStyle w:val="21"/>
              <w:rFonts w:hint="eastAsia" w:ascii="宋体" w:hAnsi="宋体" w:cs="宋体"/>
              <w:color w:val="auto"/>
            </w:rPr>
            <w:t>9.1 塑造红色文旅品牌</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_Toc212564888 \h </w:instrText>
          </w:r>
          <w:r>
            <w:rPr>
              <w:rFonts w:hint="eastAsia" w:ascii="宋体" w:hAnsi="宋体" w:cs="宋体"/>
            </w:rPr>
            <w:fldChar w:fldCharType="separate"/>
          </w:r>
          <w:r>
            <w:rPr>
              <w:rFonts w:hint="eastAsia" w:ascii="宋体" w:hAnsi="宋体" w:cs="宋体"/>
            </w:rPr>
            <w:t>28</w:t>
          </w:r>
          <w:r>
            <w:rPr>
              <w:rFonts w:hint="eastAsia" w:ascii="宋体" w:hAnsi="宋体" w:cs="宋体"/>
            </w:rPr>
            <w:fldChar w:fldCharType="end"/>
          </w:r>
          <w:r>
            <w:rPr>
              <w:rFonts w:hint="eastAsia" w:ascii="宋体" w:hAnsi="宋体" w:cs="宋体"/>
            </w:rPr>
            <w:fldChar w:fldCharType="end"/>
          </w:r>
        </w:p>
        <w:p w14:paraId="52B34B37">
          <w:pPr>
            <w:pStyle w:val="15"/>
            <w:tabs>
              <w:tab w:val="right" w:leader="dot" w:pos="8296"/>
            </w:tabs>
            <w:spacing w:line="312" w:lineRule="auto"/>
            <w:ind w:left="440" w:firstLine="480"/>
            <w:rPr>
              <w:rFonts w:hint="eastAsia" w:ascii="宋体" w:hAnsi="宋体" w:cs="宋体"/>
            </w:rPr>
          </w:pPr>
          <w:r>
            <w:fldChar w:fldCharType="begin"/>
          </w:r>
          <w:r>
            <w:instrText xml:space="preserve"> HYPERLINK \l "_Toc212564889" </w:instrText>
          </w:r>
          <w:r>
            <w:fldChar w:fldCharType="separate"/>
          </w:r>
          <w:r>
            <w:rPr>
              <w:rStyle w:val="21"/>
              <w:rFonts w:hint="eastAsia" w:ascii="宋体" w:hAnsi="宋体" w:cs="宋体"/>
              <w:color w:val="auto"/>
            </w:rPr>
            <w:t>9.2 塑造红色文旅项目体系</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_Toc212564889 \h </w:instrText>
          </w:r>
          <w:r>
            <w:rPr>
              <w:rFonts w:hint="eastAsia" w:ascii="宋体" w:hAnsi="宋体" w:cs="宋体"/>
            </w:rPr>
            <w:fldChar w:fldCharType="separate"/>
          </w:r>
          <w:r>
            <w:rPr>
              <w:rFonts w:hint="eastAsia" w:ascii="宋体" w:hAnsi="宋体" w:cs="宋体"/>
            </w:rPr>
            <w:t>28</w:t>
          </w:r>
          <w:r>
            <w:rPr>
              <w:rFonts w:hint="eastAsia" w:ascii="宋体" w:hAnsi="宋体" w:cs="宋体"/>
            </w:rPr>
            <w:fldChar w:fldCharType="end"/>
          </w:r>
          <w:r>
            <w:rPr>
              <w:rFonts w:hint="eastAsia" w:ascii="宋体" w:hAnsi="宋体" w:cs="宋体"/>
            </w:rPr>
            <w:fldChar w:fldCharType="end"/>
          </w:r>
        </w:p>
        <w:p w14:paraId="43596A3A">
          <w:pPr>
            <w:spacing w:after="0" w:line="312" w:lineRule="auto"/>
            <w:ind w:left="1097" w:leftChars="200" w:hanging="657" w:hangingChars="274"/>
            <w:rPr>
              <w:rFonts w:hint="eastAsia" w:ascii="宋体" w:hAnsi="宋体" w:eastAsia="宋体" w:cs="宋体"/>
              <w:sz w:val="24"/>
            </w:rPr>
          </w:pPr>
          <w:r>
            <w:rPr>
              <w:rFonts w:hint="eastAsia" w:ascii="宋体" w:hAnsi="宋体" w:eastAsia="宋体" w:cs="宋体"/>
              <w:sz w:val="24"/>
              <w:lang w:val="zh-CN"/>
            </w:rPr>
            <w:fldChar w:fldCharType="end"/>
          </w:r>
          <w:r>
            <w:rPr>
              <w:rFonts w:hint="eastAsia" w:ascii="宋体" w:hAnsi="宋体" w:eastAsia="宋体" w:cs="宋体"/>
              <w:sz w:val="24"/>
            </w:rPr>
            <w:t>规划图纸</w:t>
          </w:r>
          <w:r>
            <w:rPr>
              <w:rFonts w:hint="eastAsia" w:ascii="宋体" w:hAnsi="宋体" w:eastAsia="宋体" w:cs="宋体"/>
              <w:sz w:val="24"/>
              <w:lang w:val="zh-CN"/>
            </w:rPr>
            <w:t>…………………………………………………………</w:t>
          </w:r>
          <w:r>
            <w:rPr>
              <w:rFonts w:hint="eastAsia" w:ascii="宋体" w:hAnsi="宋体" w:eastAsia="宋体" w:cs="宋体"/>
              <w:sz w:val="24"/>
            </w:rPr>
            <w:t xml:space="preserve">     </w:t>
          </w:r>
          <w:r>
            <w:rPr>
              <w:rFonts w:hint="eastAsia" w:ascii="宋体" w:hAnsi="宋体" w:eastAsia="宋体" w:cs="宋体"/>
              <w:sz w:val="24"/>
              <w:lang w:val="zh-CN"/>
            </w:rPr>
            <w:t>……30</w:t>
          </w:r>
        </w:p>
      </w:sdtContent>
    </w:sdt>
    <w:p w14:paraId="584D0677">
      <w:pPr>
        <w:spacing w:after="0" w:line="360" w:lineRule="auto"/>
        <w:ind w:firstLine="480" w:firstLineChars="200"/>
        <w:rPr>
          <w:rFonts w:hint="eastAsia" w:eastAsia="宋体"/>
          <w:sz w:val="24"/>
        </w:rPr>
      </w:pPr>
    </w:p>
    <w:p w14:paraId="1DFDE371">
      <w:pPr>
        <w:widowControl/>
        <w:rPr>
          <w:rFonts w:hint="eastAsia" w:ascii="微软雅黑" w:hAnsi="微软雅黑" w:eastAsia="微软雅黑"/>
          <w:b/>
          <w:bCs/>
          <w:sz w:val="28"/>
          <w:szCs w:val="28"/>
        </w:rPr>
      </w:pPr>
    </w:p>
    <w:p w14:paraId="300B2238">
      <w:pPr>
        <w:widowControl/>
        <w:rPr>
          <w:rFonts w:hint="eastAsia" w:ascii="微软雅黑" w:hAnsi="微软雅黑" w:eastAsia="微软雅黑"/>
          <w:b/>
          <w:bCs/>
          <w:sz w:val="28"/>
          <w:szCs w:val="28"/>
        </w:rPr>
        <w:sectPr>
          <w:footerReference r:id="rId5" w:type="default"/>
          <w:pgSz w:w="11906" w:h="16838"/>
          <w:pgMar w:top="1440" w:right="1800" w:bottom="1440" w:left="1800" w:header="851" w:footer="992" w:gutter="0"/>
          <w:cols w:space="425" w:num="1"/>
          <w:docGrid w:type="lines" w:linePitch="312" w:charSpace="0"/>
        </w:sectPr>
      </w:pPr>
    </w:p>
    <w:p w14:paraId="362C92B7">
      <w:pPr>
        <w:keepNext/>
        <w:keepLines/>
        <w:spacing w:before="480" w:after="80" w:line="360" w:lineRule="auto"/>
        <w:ind w:firstLine="560" w:firstLineChars="200"/>
        <w:outlineLvl w:val="0"/>
        <w:rPr>
          <w:rFonts w:hint="eastAsia" w:ascii="微软雅黑" w:hAnsi="微软雅黑" w:eastAsia="微软雅黑" w:cstheme="majorBidi"/>
          <w:b/>
          <w:bCs/>
          <w:sz w:val="28"/>
          <w:szCs w:val="28"/>
        </w:rPr>
      </w:pPr>
      <w:bookmarkStart w:id="0" w:name="_Toc212564854"/>
      <w:r>
        <w:rPr>
          <w:rFonts w:hint="eastAsia" w:ascii="微软雅黑" w:hAnsi="微软雅黑" w:eastAsia="微软雅黑" w:cstheme="majorBidi"/>
          <w:b/>
          <w:bCs/>
          <w:sz w:val="28"/>
          <w:szCs w:val="28"/>
        </w:rPr>
        <w:t>第一章 规划背景</w:t>
      </w:r>
      <w:bookmarkEnd w:id="0"/>
    </w:p>
    <w:p w14:paraId="67053E2F">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1" w:name="_Toc212564855"/>
      <w:r>
        <w:rPr>
          <w:rFonts w:hint="eastAsia" w:ascii="微软雅黑" w:hAnsi="微软雅黑" w:eastAsia="微软雅黑" w:cstheme="majorBidi"/>
          <w:b/>
          <w:bCs/>
          <w:sz w:val="28"/>
          <w:szCs w:val="28"/>
        </w:rPr>
        <w:t>1.1 政策背景</w:t>
      </w:r>
      <w:bookmarkEnd w:id="1"/>
    </w:p>
    <w:p w14:paraId="4F2F8AC2">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党的十八大、十九大以来，习近平总书记明确作出“要切实把革命文物保护好、管理好、运用好，传承红色基因，赓续红色血脉”“大力弘扬东北抗联精神”等指示批示。2025年1月，习近平总书记在本溪考察时作出重要指示：“要用好红色资源，激发广大干部群众的激情和斗志”。抗联文物作为中国人民抗日战争的历史见证和实物载体，讲述了东北抗日联军十四年艰苦卓绝的斗争历史，见证了一大批民族英雄的英雄事迹，彰显了中国共产党人精神谱系中“忠诚于党的坚定信念，勇赴国难的民族大义，血战到底的英雄气概”的东北抗联精神。抗联文物在传承红色基因、赓续红色血脉、弘扬“抗联精神”的过程中具有不可或缺的价值。</w:t>
      </w:r>
    </w:p>
    <w:p w14:paraId="6DEB0DB7">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2018年，中央办公厅、国务院办公厅联合发布《关于实施革命文物保护利用工程（2018 - 2022年）的意见》，提出“革命文物集中连片保护利用工程”。2021年，国家文物局颁布了革命文物集中连片保护利用规划编制要求。东北抗日联军片区覆盖辽宁省（9个县区）、吉林省（23个县区）、黑龙江省（47个县区）、内蒙古自治区（5个县区），共计84个县区。中央财政专项经费将支持范围下探到省级和省级以下文物保护单位（仍以国保为主，根据主题组合片区型项目，适当纳入省保及以下文物）。本溪4个县（区）纳入革命文物保护利用片区，连片地区整体陈列展示项目能够有效获得中央财政专项经费支持。</w:t>
      </w:r>
    </w:p>
    <w:p w14:paraId="6D7A0C21">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2023年至2024年召开了三次东北抗联革命文物保护利用工作会议，会议强调了要保护好抗联文物，推进抗联文物系统保护、科学保护；加快推进抗联遗址列为全国重点文物保护单位、国家级抗战纪念设施、全国爱国主义教育示范基地等工作方向。</w:t>
      </w:r>
    </w:p>
    <w:p w14:paraId="7E30487E">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市地处辽宁中部，是东北最早开展抗日斗争的地区之一，也是东北抗日义勇军主要征战地、国歌素材地、东北抗日联军主要活动地，在十四年抗战历程中持续发挥了重要历史作用。本溪市域内拥有丰富的抗联遗址遗迹、悠久的革命历史，但目前存在抗联遗址遗迹数量不清晰、保护展示工作不足、抗联主题教育研学推广较弱、抗联主题文旅产业薄弱等问题。编制《本溪抗联遗址遗迹保护和利用总体规划》能够有效厘清抗联遗址遗迹家底，明确抗联遗址遗迹保护及展示利用措施，打造整体保护利用格局，加强抗联主题教育研学、文旅产业的发展，实现保护本溪抗联遗址遗迹、讲述抗战历史、弘扬东北抗联精神，助力本溪红色文化品牌塑造的目标。</w:t>
      </w:r>
    </w:p>
    <w:p w14:paraId="1D5A0961">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2" w:name="_Toc212564856"/>
      <w:r>
        <w:rPr>
          <w:rFonts w:hint="eastAsia" w:ascii="微软雅黑" w:hAnsi="微软雅黑" w:eastAsia="微软雅黑" w:cstheme="majorBidi"/>
          <w:b/>
          <w:bCs/>
          <w:sz w:val="28"/>
          <w:szCs w:val="28"/>
        </w:rPr>
        <w:t>1.2 规划原则</w:t>
      </w:r>
      <w:bookmarkEnd w:id="2"/>
    </w:p>
    <w:p w14:paraId="22268E9B">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 xml:space="preserve">保护为主，安全第一。系统做好保护工作，建立安全长效机制，筑牢文物安全底线。加强日常保护、预防性保护与主动保护。 </w:t>
      </w:r>
    </w:p>
    <w:p w14:paraId="3C3984E9">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加强考古，深化研究。加大考古与研究阐释力度，有序开展区域系统调查、专项调查和重要抗联遗址遗迹考古调查、勘探和发掘。</w:t>
      </w:r>
    </w:p>
    <w:p w14:paraId="05ACA5C1">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 xml:space="preserve">传承弘扬，合理利用。加强价值挖掘，丰富抗联故事展示传播弘扬形式，讲好本溪抗联故事。创新以价值为导向的利用模式、方法和路径，实现文物资源合理利用。 </w:t>
      </w:r>
    </w:p>
    <w:p w14:paraId="4B5F9F0D">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开放合作，协同共进。探索体制机制创新，建立多部门协同、跨区域联动、完善政策法规、各专业机构合作的抗联保护管理工作体系，实现融合发展。</w:t>
      </w:r>
    </w:p>
    <w:p w14:paraId="2E658992">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3" w:name="_Toc212564857"/>
      <w:r>
        <w:rPr>
          <w:rFonts w:hint="eastAsia" w:ascii="微软雅黑" w:hAnsi="微软雅黑" w:eastAsia="微软雅黑" w:cstheme="majorBidi"/>
          <w:b/>
          <w:bCs/>
          <w:sz w:val="28"/>
          <w:szCs w:val="28"/>
        </w:rPr>
        <w:t xml:space="preserve">1.3 </w:t>
      </w:r>
      <w:r>
        <w:rPr>
          <w:rFonts w:ascii="微软雅黑" w:hAnsi="微软雅黑" w:eastAsia="微软雅黑" w:cstheme="majorBidi"/>
          <w:b/>
          <w:bCs/>
          <w:sz w:val="28"/>
          <w:szCs w:val="28"/>
        </w:rPr>
        <w:t>规划性质</w:t>
      </w:r>
      <w:bookmarkEnd w:id="3"/>
    </w:p>
    <w:p w14:paraId="085B6356">
      <w:pPr>
        <w:spacing w:after="0" w:line="360" w:lineRule="auto"/>
        <w:ind w:firstLine="480" w:firstLineChars="200"/>
        <w:rPr>
          <w:rFonts w:hint="eastAsia" w:ascii="微软雅黑" w:hAnsi="微软雅黑" w:eastAsia="微软雅黑"/>
          <w:sz w:val="24"/>
        </w:rPr>
      </w:pPr>
      <w:bookmarkStart w:id="4" w:name="_Toc212564858"/>
      <w:r>
        <w:rPr>
          <w:rFonts w:hint="eastAsia" w:ascii="微软雅黑" w:hAnsi="微软雅黑" w:eastAsia="微软雅黑"/>
          <w:sz w:val="24"/>
        </w:rPr>
        <w:t>《本溪抗联遗址遗迹保护和利用总体规划》以东北抗联史实为主轴，以抗联遗址遗迹为核心，以革命文物保护利用片区建设为指导，通过价值评估与文化挖掘、抗联遗址遗迹的保护与展示、构建展示与教育体系、策划红色文旅品牌与产品、树立重点项目与建设时序，是一项以东北抗联为主题的革命文物与文化资源保护传承的专项规划。</w:t>
      </w:r>
    </w:p>
    <w:p w14:paraId="34FE7DAF">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r>
        <w:rPr>
          <w:rFonts w:hint="eastAsia" w:ascii="微软雅黑" w:hAnsi="微软雅黑" w:eastAsia="微软雅黑" w:cstheme="majorBidi"/>
          <w:b/>
          <w:bCs/>
          <w:sz w:val="28"/>
          <w:szCs w:val="28"/>
        </w:rPr>
        <w:t xml:space="preserve">1.4 </w:t>
      </w:r>
      <w:r>
        <w:rPr>
          <w:rFonts w:ascii="微软雅黑" w:hAnsi="微软雅黑" w:eastAsia="微软雅黑" w:cstheme="majorBidi"/>
          <w:b/>
          <w:bCs/>
          <w:sz w:val="28"/>
          <w:szCs w:val="28"/>
        </w:rPr>
        <w:t>规划范围</w:t>
      </w:r>
      <w:bookmarkEnd w:id="4"/>
    </w:p>
    <w:p w14:paraId="22287932">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《本溪抗联遗址遗迹保护和利用总体规划》以时间、空间、资源等三个维度共同确定规划范围。</w:t>
      </w:r>
    </w:p>
    <w:p w14:paraId="05BE25BF">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空间范围：以中宣部和国家文物局公布的革命文物保护利用片区为基础，以本溪县、桓仁县、平山区、南芬区为主，辐射明山区、溪湖区。</w:t>
      </w:r>
    </w:p>
    <w:p w14:paraId="6ABAB4CD">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时间范围：规划以东北抗联在本溪的历史时期（1933 - 1939年）为主，兼顾东北抗日义勇军斗争时期和党领导的“特殊工人”反日斗争时期，时间范围为1931年至1945年，涵盖十四年抗战在本溪的全过程。</w:t>
      </w:r>
    </w:p>
    <w:p w14:paraId="17B700F4">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资源范畴：以本溪抗联遗址遗迹为主体，涵盖东北抗日义勇军、东北抗日联军、“特殊工人”反日斗争三个时期的各级文物保护单位、一般不可移动文物，以及新发现的未定级遗址遗迹，兼顾博物馆、纪念设施等与东北抗联密切相关的文化资源。</w:t>
      </w:r>
    </w:p>
    <w:p w14:paraId="62AC5A5E">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5" w:name="_Toc212564859"/>
      <w:r>
        <w:rPr>
          <w:rFonts w:hint="eastAsia" w:ascii="微软雅黑" w:hAnsi="微软雅黑" w:eastAsia="微软雅黑" w:cstheme="majorBidi"/>
          <w:b/>
          <w:bCs/>
          <w:sz w:val="28"/>
          <w:szCs w:val="28"/>
        </w:rPr>
        <w:t xml:space="preserve">1.5 </w:t>
      </w:r>
      <w:r>
        <w:rPr>
          <w:rFonts w:ascii="微软雅黑" w:hAnsi="微软雅黑" w:eastAsia="微软雅黑" w:cstheme="majorBidi"/>
          <w:b/>
          <w:bCs/>
          <w:sz w:val="28"/>
          <w:szCs w:val="28"/>
        </w:rPr>
        <w:t>规划期限</w:t>
      </w:r>
      <w:bookmarkEnd w:id="5"/>
    </w:p>
    <w:p w14:paraId="0913BE2A">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本规划以2025 - 2035年作为规划期限。其中2025年 - 2030年作为规划重点建设期，2031年 - 2035年作为深化发展期。</w:t>
      </w:r>
    </w:p>
    <w:p w14:paraId="557307F4">
      <w:pPr>
        <w:keepNext/>
        <w:keepLines/>
        <w:spacing w:before="480" w:after="80" w:line="360" w:lineRule="auto"/>
        <w:ind w:firstLine="560" w:firstLineChars="200"/>
        <w:outlineLvl w:val="0"/>
        <w:rPr>
          <w:rFonts w:hint="eastAsia" w:ascii="微软雅黑" w:hAnsi="微软雅黑" w:eastAsia="微软雅黑" w:cstheme="majorBidi"/>
          <w:b/>
          <w:bCs/>
          <w:sz w:val="28"/>
          <w:szCs w:val="28"/>
        </w:rPr>
      </w:pPr>
      <w:bookmarkStart w:id="6" w:name="_Toc212564860"/>
      <w:r>
        <w:rPr>
          <w:rFonts w:hint="eastAsia" w:ascii="微软雅黑" w:hAnsi="微软雅黑" w:eastAsia="微软雅黑" w:cstheme="majorBidi"/>
          <w:b/>
          <w:bCs/>
          <w:sz w:val="28"/>
          <w:szCs w:val="28"/>
        </w:rPr>
        <w:t>第二章 价值评估</w:t>
      </w:r>
      <w:bookmarkEnd w:id="6"/>
    </w:p>
    <w:p w14:paraId="39050C69">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7" w:name="_Toc212564861"/>
      <w:r>
        <w:rPr>
          <w:rFonts w:hint="eastAsia" w:ascii="微软雅黑" w:hAnsi="微软雅黑" w:eastAsia="微软雅黑" w:cstheme="majorBidi"/>
          <w:b/>
          <w:bCs/>
          <w:sz w:val="28"/>
          <w:szCs w:val="28"/>
        </w:rPr>
        <w:t>2.1 价值评估</w:t>
      </w:r>
      <w:bookmarkEnd w:id="7"/>
    </w:p>
    <w:p w14:paraId="11B9D9C9">
      <w:pPr>
        <w:spacing w:after="0" w:line="360" w:lineRule="auto"/>
        <w:ind w:firstLine="480" w:firstLineChars="200"/>
        <w:rPr>
          <w:rFonts w:hint="eastAsia" w:ascii="微软雅黑" w:hAnsi="微软雅黑" w:eastAsia="微软雅黑"/>
          <w:b/>
          <w:bCs/>
          <w:sz w:val="24"/>
        </w:rPr>
      </w:pPr>
      <w:r>
        <w:rPr>
          <w:rFonts w:hint="eastAsia" w:ascii="微软雅黑" w:hAnsi="微软雅黑" w:eastAsia="微软雅黑"/>
          <w:b/>
          <w:bCs/>
          <w:sz w:val="24"/>
        </w:rPr>
        <w:t>（一）历史价值</w:t>
      </w:r>
    </w:p>
    <w:p w14:paraId="21E4ABFE">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本溪是东北抗日最早的地区之一，本溪抗联遗址遗迹完整见证了东北抗日义勇军、抗联将士、“特殊工人”等东北军民在本溪十四年英勇顽强，予敌以有力打击的壮举。</w:t>
      </w:r>
    </w:p>
    <w:p w14:paraId="5CA6FD0C">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抗联遗址遗迹真实呈现了杨靖宇、李兆麟、邓铁梅等一批民族英雄和抗日先烈在本溪战斗、工作、生活的历史场景，记录了杨靖宇创建本桓抗日根据地、组织两次西征、领导南满省委组织活动；李兆麟创立中共本溪特别支部；邓铁梅组织东北抗日义勇军等一系列重要历史事件。</w:t>
      </w:r>
    </w:p>
    <w:p w14:paraId="0D46A408">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本溪抗联遗址遗迹中包含的东北抗日义勇军斗争时期的遗址遗迹是国歌创作素材实物载体，真实反映了东北抗日义勇军不屈外侮的光辉历史，对国歌创作具有重要历史参考价值。</w:t>
      </w:r>
    </w:p>
    <w:p w14:paraId="6A0F853F">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本溪抗联遗址遗迹反映了抗联将士抗日斗争的活动范围，完整展示了日常战斗、后勤补给、生产生活的历史全貌。</w:t>
      </w:r>
    </w:p>
    <w:p w14:paraId="7077A085">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湖工业遗产群是日本帝国主义掠夺中国资源的重要实证。遗址突出反映了在中国共产党领导下，团结工人阶级，以“特殊工人”为根基，在敌统治后方以罢工、怠工、暴动等形式坚持反抗日军压迫、破坏生产、粉碎日军“以战养战”战略图谋的重要历史史实。</w:t>
      </w:r>
    </w:p>
    <w:p w14:paraId="3855F7F7">
      <w:pPr>
        <w:spacing w:after="0" w:line="360" w:lineRule="auto"/>
        <w:ind w:firstLine="480" w:firstLineChars="200"/>
        <w:rPr>
          <w:rFonts w:hint="eastAsia" w:ascii="微软雅黑" w:hAnsi="微软雅黑" w:eastAsia="微软雅黑"/>
          <w:b/>
          <w:bCs/>
          <w:sz w:val="24"/>
        </w:rPr>
      </w:pPr>
      <w:r>
        <w:rPr>
          <w:rFonts w:ascii="微软雅黑" w:hAnsi="微软雅黑" w:eastAsia="微软雅黑"/>
          <w:b/>
          <w:bCs/>
          <w:sz w:val="24"/>
        </w:rPr>
        <w:t>（</w:t>
      </w:r>
      <w:r>
        <w:rPr>
          <w:rFonts w:hint="eastAsia" w:ascii="微软雅黑" w:hAnsi="微软雅黑" w:eastAsia="微软雅黑"/>
          <w:b/>
          <w:bCs/>
          <w:sz w:val="24"/>
        </w:rPr>
        <w:t>二</w:t>
      </w:r>
      <w:r>
        <w:rPr>
          <w:rFonts w:ascii="微软雅黑" w:hAnsi="微软雅黑" w:eastAsia="微软雅黑"/>
          <w:b/>
          <w:bCs/>
          <w:sz w:val="24"/>
        </w:rPr>
        <w:t>）</w:t>
      </w:r>
      <w:r>
        <w:rPr>
          <w:rFonts w:hint="eastAsia" w:ascii="微软雅黑" w:hAnsi="微软雅黑" w:eastAsia="微软雅黑"/>
          <w:b/>
          <w:bCs/>
          <w:sz w:val="24"/>
        </w:rPr>
        <w:t>艺术价值</w:t>
      </w:r>
    </w:p>
    <w:p w14:paraId="55169D10">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部分本溪抗联遗址遗迹分布在五女山、龙头山、关门山等本溪重要自然生态景观内，与自然生态景观联系紧密，遗址的分布能够体现本溪“八山一水一分田”的地理格局，展现东北山高林密、白山黑水的壮美景观，是人文和自然景观完美结合的实物典范。</w:t>
      </w:r>
    </w:p>
    <w:p w14:paraId="5F9462F3">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（三）社会文化价值</w:t>
      </w:r>
    </w:p>
    <w:p w14:paraId="5AA4F2F2">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东北抗联精神与伟大建党精神一脉相承，是中华民族伟大精神和中国共产党人精神谱系的重要组成部分。本溪抗联遗址遗迹是东北抗联精神重要实物载体，是弘扬革命传统和革命文化、深入开展爱国主义教育和国防教育、加强社会主义精神文明建设、树立社会主义核心价值观、激发爱国热情、振奋民族精神的生动教材和重要场所。</w:t>
      </w:r>
    </w:p>
    <w:p w14:paraId="0509129F">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抗联遗址遗迹是推进东北抗日联军革命文物保护片区规划工作、全景展现东北十四年抗战伟大历程的重要物质基础，对讲好本溪抗战历史、树立本溪红色文化标识、凸显本溪在东北抗联历史中的重要地位，具有现实意义。</w:t>
      </w:r>
    </w:p>
    <w:p w14:paraId="481C1608">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本溪诞生了大量的可歌可泣的英雄事迹，杨靖宇、邓铁梅是第一批认定的民族英雄。本溪抗联遗址遗迹是广大人民崇尚英雄、捍卫英雄、学习英雄的重要场所，对传承红色基因、赓续红色血脉具有重要社会意义。</w:t>
      </w:r>
    </w:p>
    <w:p w14:paraId="78861A8D">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抗联遗址遗迹是本溪市重要的文化资源，对推动本溪红色文旅产业高质量发展、促进文旅融合、激活各类资源、带动乡村振兴，具有积极意义，也是满足人民多样化精神文化需求、促进区域发展的优势资源和重要抓手。</w:t>
      </w:r>
    </w:p>
    <w:p w14:paraId="4BB597C5">
      <w:pPr>
        <w:keepNext/>
        <w:keepLines/>
        <w:spacing w:before="480" w:after="80" w:line="360" w:lineRule="auto"/>
        <w:ind w:firstLine="560" w:firstLineChars="200"/>
        <w:outlineLvl w:val="0"/>
        <w:rPr>
          <w:rFonts w:hint="eastAsia" w:ascii="微软雅黑" w:hAnsi="微软雅黑" w:eastAsia="微软雅黑" w:cstheme="majorBidi"/>
          <w:b/>
          <w:bCs/>
          <w:sz w:val="28"/>
          <w:szCs w:val="28"/>
        </w:rPr>
      </w:pPr>
      <w:bookmarkStart w:id="8" w:name="_Toc212564862"/>
      <w:r>
        <w:rPr>
          <w:rFonts w:hint="eastAsia" w:ascii="微软雅黑" w:hAnsi="微软雅黑" w:eastAsia="微软雅黑" w:cstheme="majorBidi"/>
          <w:b/>
          <w:bCs/>
          <w:sz w:val="28"/>
          <w:szCs w:val="28"/>
        </w:rPr>
        <w:t>第三章 资源禀赋</w:t>
      </w:r>
      <w:bookmarkEnd w:id="8"/>
    </w:p>
    <w:p w14:paraId="108C46D9">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9" w:name="_Toc212564863"/>
      <w:r>
        <w:rPr>
          <w:rFonts w:hint="eastAsia" w:ascii="微软雅黑" w:hAnsi="微软雅黑" w:eastAsia="微软雅黑" w:cstheme="majorBidi"/>
          <w:b/>
          <w:bCs/>
          <w:sz w:val="28"/>
          <w:szCs w:val="28"/>
        </w:rPr>
        <w:t>3.1 本溪抗联遗址遗迹</w:t>
      </w:r>
      <w:bookmarkEnd w:id="9"/>
    </w:p>
    <w:p w14:paraId="7086A3FB">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本溪是全省抗战文物数量最多、分布最集中的地市。</w:t>
      </w:r>
      <w:r>
        <w:rPr>
          <w:rFonts w:hint="eastAsia" w:ascii="微软雅黑" w:hAnsi="微软雅黑" w:eastAsia="微软雅黑"/>
          <w:sz w:val="24"/>
        </w:rPr>
        <w:t>本溪现存革命遗址遗迹共计154处，其中抗联时期的遗址遗迹139处，是辽宁省抗联文物保留数量最多、分布最集中的地市，文物资源规模远超省内其它地市，本溪抗联遗址遗迹见证了本溪十四年抗战史各个历史阶段和重大历史事件。本溪市现有抗联遗址遗迹涵盖了省级文物保护单位19处，市县级文物保护单位92处，未定级文物保护单位28处。抗联遗址遗迹广泛分布于全市各地，以本溪县、桓仁县最为集中。</w:t>
      </w:r>
    </w:p>
    <w:p w14:paraId="784DDA61">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本溪现存抗联遗址遗迹特点较为突出，主要包括以下几点：</w:t>
      </w:r>
    </w:p>
    <w:p w14:paraId="5DBFA15D">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本溪抗联遗址遗迹申报国保的潜力较大。</w:t>
      </w:r>
      <w:r>
        <w:rPr>
          <w:rFonts w:hint="eastAsia" w:ascii="微软雅黑" w:hAnsi="微软雅黑" w:eastAsia="微软雅黑"/>
          <w:sz w:val="24"/>
        </w:rPr>
        <w:t>全国以东北抗联为主题的全国重点文物保护单位仅黑龙江省的朝阳山东北抗联第三路军密营遗址和吉林省的红石砬子抗日根据地遗址等2处。辽宁省尚无东北抗联主题的全国重点文物保护单位，作为抗联文物分布最集中的地市，本溪现有东北抗联主题的省级文物保护单位20处，且市县级、一般不可移动文物与之密切关联，共同构成完整的抗联史实叙事体系。其中龙山头抗联一军军部遗址、中共南满省委机关遗址最具代表性，具有很大申报国保优势和潜力。</w:t>
      </w:r>
    </w:p>
    <w:p w14:paraId="1B9E5CCE">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现存本溪抗联遗址遗迹的历史序列完整，文物类别丰富，能够较为完整地见证本溪十四年抗战历史。</w:t>
      </w:r>
      <w:r>
        <w:rPr>
          <w:rFonts w:hint="eastAsia" w:ascii="微软雅黑" w:hAnsi="微软雅黑" w:eastAsia="微软雅黑"/>
          <w:sz w:val="24"/>
        </w:rPr>
        <w:t>本溪抗联时期的遗址遗迹在本溪革命文物中数量最多，占比近70%，是见证本溪十四年抗战历史的重要载体。本溪抗联遗址遗迹文物类别丰富，能够完整体现本桓根据地是集日常战斗、后勤补给、生产生活于一体的体系。遗址遗迹包括居住建筑遗址、密营遗址、战斗遗址、重要会议遗址、机关办公遗址、临时医院遗址、兵工厂遗址、练兵场遗址、被服厂遗址、重大事件发生地、烈士及民众殉难地、烈士墓及纪念设施、题刻及标语、工业遗产等不同类型。</w:t>
      </w:r>
    </w:p>
    <w:p w14:paraId="255B1385">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10" w:name="_Toc212564864"/>
      <w:r>
        <w:rPr>
          <w:rFonts w:hint="eastAsia" w:ascii="微软雅黑" w:hAnsi="微软雅黑" w:eastAsia="微软雅黑" w:cstheme="majorBidi"/>
          <w:b/>
          <w:bCs/>
          <w:sz w:val="28"/>
          <w:szCs w:val="28"/>
        </w:rPr>
        <w:t>3.2 相关资源</w:t>
      </w:r>
      <w:bookmarkEnd w:id="10"/>
    </w:p>
    <w:p w14:paraId="32089023">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现有3处国家级抗日纪念设施，是东三省拥有国家级抗战纪念设施最多的地市。本溪现有抗战相关纪念设施共计21处，涵盖纪念碑、纪念塔、纪念馆、烈士陵园等，其中本溪烈士陵园、东北抗联史实陈列馆、东北抗日义勇军纪念馆为国家级纪念设施，本溪同时拥有以东北抗联和东北抗日义勇军为主的纪念场馆。</w:t>
      </w:r>
    </w:p>
    <w:p w14:paraId="0D8E58BF">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爱国主义教育和国防教育设施较为完善，具有突出的红色教育发展基础。全市现有各级爱国主义基地40处，国防教育基地6处。国家级爱国主义教育基地2处（东北抗联史实陈列馆、东北抗日义勇军纪念馆），为全市开展红色教育、抗战精神传承奠定基础。</w:t>
      </w:r>
    </w:p>
    <w:p w14:paraId="28EF5C8C">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全市文化与生态旅游资源较为丰富，资源特色突出。本溪现有A级以上景区51处，以世界遗产、地质奇观、枫叶景观最具特点。其中的五女山（世界遗产）、老边沟、枫林谷等景区与本溪抗联遗址遗迹紧密相连，另有9处本溪重要抗联遗址遗迹遍布在景区内。</w:t>
      </w:r>
    </w:p>
    <w:p w14:paraId="01BE3371">
      <w:pPr>
        <w:keepNext/>
        <w:keepLines/>
        <w:spacing w:before="480" w:after="80" w:line="360" w:lineRule="auto"/>
        <w:ind w:firstLine="560" w:firstLineChars="200"/>
        <w:outlineLvl w:val="0"/>
        <w:rPr>
          <w:rFonts w:hint="eastAsia" w:ascii="微软雅黑" w:hAnsi="微软雅黑" w:eastAsia="微软雅黑" w:cstheme="majorBidi"/>
          <w:b/>
          <w:bCs/>
          <w:sz w:val="28"/>
          <w:szCs w:val="28"/>
        </w:rPr>
      </w:pPr>
      <w:bookmarkStart w:id="11" w:name="_Toc212564865"/>
      <w:r>
        <w:rPr>
          <w:rFonts w:hint="eastAsia" w:ascii="微软雅黑" w:hAnsi="微软雅黑" w:eastAsia="微软雅黑" w:cstheme="majorBidi"/>
          <w:b/>
          <w:bCs/>
          <w:sz w:val="28"/>
          <w:szCs w:val="28"/>
        </w:rPr>
        <w:t>第四章 总体思路</w:t>
      </w:r>
      <w:bookmarkEnd w:id="11"/>
    </w:p>
    <w:p w14:paraId="78C81B96">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12" w:name="_Toc212564866"/>
      <w:r>
        <w:rPr>
          <w:rFonts w:hint="eastAsia" w:ascii="微软雅黑" w:hAnsi="微软雅黑" w:eastAsia="微软雅黑" w:cstheme="majorBidi"/>
          <w:b/>
          <w:bCs/>
          <w:sz w:val="28"/>
          <w:szCs w:val="28"/>
        </w:rPr>
        <w:t>4.1 规划目标</w:t>
      </w:r>
      <w:bookmarkEnd w:id="12"/>
    </w:p>
    <w:p w14:paraId="2FD749C6">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规划目标：将本溪打造为辽宁省十四年抗战的全域纪念馆。</w:t>
      </w:r>
    </w:p>
    <w:p w14:paraId="7135FA48">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是东北抗联时期条件最艰苦、形势最严峻的前沿阵地，从义勇军早期的策源地到“特殊工人”的艰苦斗争，本溪的抗战历史跨越了十四年历程，完整的抗战遗址遗迹俨然是一部中国人抵御外辱的露天教科书。通过对本溪抗联遗址遗迹保护利用，让中国人全面地认知十四年艰苦抗战史，充分了解革命先辈在危难之际为救亡图存和抵御外辱所付出的巨大牺牲，感悟并理解革命先辈前赴后继、抛头颅洒热血背后的“家国情怀与民族大义”的家国精神。</w:t>
      </w:r>
    </w:p>
    <w:p w14:paraId="3ECF95B1">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13" w:name="_Toc212564867"/>
      <w:r>
        <w:rPr>
          <w:rFonts w:hint="eastAsia" w:ascii="微软雅黑" w:hAnsi="微软雅黑" w:eastAsia="微软雅黑" w:cstheme="majorBidi"/>
          <w:b/>
          <w:bCs/>
          <w:sz w:val="28"/>
          <w:szCs w:val="28"/>
        </w:rPr>
        <w:t>4.2 建设定位</w:t>
      </w:r>
      <w:bookmarkEnd w:id="13"/>
    </w:p>
    <w:p w14:paraId="3CAE72C1">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辽宁省东北抗联精神保护与传承弘扬的核心；</w:t>
      </w:r>
    </w:p>
    <w:p w14:paraId="0B752C96">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东北抗联军事拓展体验与国防教育结合的先行范例；</w:t>
      </w:r>
    </w:p>
    <w:p w14:paraId="293C1B22">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东北抗联红色景区建设与文物主题游径建设的示范；</w:t>
      </w:r>
    </w:p>
    <w:p w14:paraId="01E9BA60">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抗联遗址遗迹保护利用的共建共享模式创新实践地。</w:t>
      </w:r>
    </w:p>
    <w:p w14:paraId="7E9FB23D">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14" w:name="_Toc212564868"/>
      <w:r>
        <w:rPr>
          <w:rFonts w:hint="eastAsia" w:ascii="微软雅黑" w:hAnsi="微软雅黑" w:eastAsia="微软雅黑" w:cstheme="majorBidi"/>
          <w:b/>
          <w:bCs/>
          <w:sz w:val="28"/>
          <w:szCs w:val="28"/>
        </w:rPr>
        <w:t>4.3 重点举措</w:t>
      </w:r>
      <w:bookmarkEnd w:id="14"/>
    </w:p>
    <w:p w14:paraId="4F85C54C">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强保护：</w:t>
      </w:r>
      <w:r>
        <w:rPr>
          <w:rFonts w:hint="eastAsia" w:ascii="微软雅黑" w:hAnsi="微软雅黑" w:eastAsia="微软雅黑"/>
          <w:sz w:val="24"/>
        </w:rPr>
        <w:t>强化本溪抗联遗址遗迹保护基础，探索抗联遗址保护管理的模式创新。</w:t>
      </w:r>
    </w:p>
    <w:p w14:paraId="59EEDE2F">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立标识：</w:t>
      </w:r>
      <w:r>
        <w:rPr>
          <w:rFonts w:hint="eastAsia" w:ascii="微软雅黑" w:hAnsi="微软雅黑" w:eastAsia="微软雅黑"/>
          <w:sz w:val="24"/>
        </w:rPr>
        <w:t>申报全国重点文物保护单位；拓展东北抗联史实陈列馆和东北义勇军抗日纪念馆展示内容。</w:t>
      </w:r>
    </w:p>
    <w:p w14:paraId="3BCE884B">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塑核心：</w:t>
      </w:r>
      <w:r>
        <w:rPr>
          <w:rFonts w:hint="eastAsia" w:ascii="微软雅黑" w:hAnsi="微软雅黑" w:eastAsia="微软雅黑"/>
          <w:sz w:val="24"/>
        </w:rPr>
        <w:t>打造本桓抗日根据地展示、教育、体验核心，建立开放式红色文化景区。</w:t>
      </w:r>
    </w:p>
    <w:p w14:paraId="7D4F6934">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树人物：</w:t>
      </w:r>
      <w:r>
        <w:rPr>
          <w:rFonts w:hint="eastAsia" w:ascii="微软雅黑" w:hAnsi="微软雅黑" w:eastAsia="微软雅黑"/>
          <w:sz w:val="24"/>
        </w:rPr>
        <w:t>建立杨靖宇、李兆麟、唐聚五、邓铁梅等革命先烈专题展示，树立革命先烈人物标志。</w:t>
      </w:r>
    </w:p>
    <w:p w14:paraId="6A83E66D">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建游径</w:t>
      </w:r>
      <w:r>
        <w:rPr>
          <w:rFonts w:hint="eastAsia" w:ascii="微软雅黑" w:hAnsi="微软雅黑" w:eastAsia="微软雅黑"/>
          <w:sz w:val="24"/>
        </w:rPr>
        <w:t>：依托国家政策与资金支持，建立本溪抗联主题游径，形成本溪抗联文化精品展示线路，讲好本溪抗联故事。</w:t>
      </w:r>
    </w:p>
    <w:p w14:paraId="612BCB39">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融文旅：</w:t>
      </w:r>
      <w:r>
        <w:rPr>
          <w:rFonts w:hint="eastAsia" w:ascii="微软雅黑" w:hAnsi="微软雅黑" w:eastAsia="微软雅黑"/>
          <w:sz w:val="24"/>
        </w:rPr>
        <w:t>塑造红色文化核心品牌，与世界遗产、生态景区、地质公园等形成一批“红色+”文旅融合产品。</w:t>
      </w:r>
    </w:p>
    <w:p w14:paraId="68202B90">
      <w:pPr>
        <w:keepNext/>
        <w:keepLines/>
        <w:spacing w:before="480" w:after="80" w:line="360" w:lineRule="auto"/>
        <w:ind w:firstLine="560" w:firstLineChars="200"/>
        <w:outlineLvl w:val="0"/>
        <w:rPr>
          <w:rFonts w:hint="eastAsia" w:ascii="微软雅黑" w:hAnsi="微软雅黑" w:eastAsia="微软雅黑" w:cstheme="majorBidi"/>
          <w:b/>
          <w:bCs/>
          <w:sz w:val="28"/>
          <w:szCs w:val="28"/>
        </w:rPr>
      </w:pPr>
      <w:bookmarkStart w:id="15" w:name="_Toc212564869"/>
      <w:r>
        <w:rPr>
          <w:rFonts w:hint="eastAsia" w:ascii="微软雅黑" w:hAnsi="微软雅黑" w:eastAsia="微软雅黑" w:cstheme="majorBidi"/>
          <w:b/>
          <w:bCs/>
          <w:sz w:val="28"/>
          <w:szCs w:val="28"/>
        </w:rPr>
        <w:t>第五章 提升抗联文物保护水平</w:t>
      </w:r>
      <w:bookmarkEnd w:id="15"/>
    </w:p>
    <w:p w14:paraId="353415B2">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16" w:name="_Toc212564870"/>
      <w:r>
        <w:rPr>
          <w:rFonts w:hint="eastAsia" w:ascii="微软雅黑" w:hAnsi="微软雅黑" w:eastAsia="微软雅黑" w:cstheme="majorBidi"/>
          <w:b/>
          <w:bCs/>
          <w:sz w:val="28"/>
          <w:szCs w:val="28"/>
        </w:rPr>
        <w:t>5.1 结合四普深化调查研究</w:t>
      </w:r>
      <w:bookmarkEnd w:id="16"/>
    </w:p>
    <w:p w14:paraId="2A311419">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摸清资源家底，建立抗联文物数据库。</w:t>
      </w:r>
      <w:r>
        <w:rPr>
          <w:rFonts w:hint="eastAsia" w:ascii="微软雅黑" w:hAnsi="微软雅黑" w:eastAsia="微软雅黑"/>
          <w:sz w:val="24"/>
        </w:rPr>
        <w:t>结合第四次文物普查，组织开展全市范围内抗联遗址遗迹调查统计，组织文物、考古、党史等专家对遗址遗迹进行识别、论证。全面摸清本溪抗联遗址遗迹资源家底。建立抗联遗址遗迹数据库，形成本溪市抗联遗址遗迹名录。建立数据库，录入点位坐标、级别、现状照片、测绘图纸等基本信息。</w:t>
      </w:r>
    </w:p>
    <w:p w14:paraId="37DCD308">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实施重要抗联遗址遗迹测绘、调查及局部考古发掘。</w:t>
      </w:r>
      <w:r>
        <w:rPr>
          <w:rFonts w:hint="eastAsia" w:ascii="微软雅黑" w:hAnsi="微软雅黑" w:eastAsia="微软雅黑"/>
          <w:sz w:val="24"/>
        </w:rPr>
        <w:t>建议近期开展对龙头山抗联一军军部遗址、中共南满省委机关遗址等遗址遗迹的考古调查和发掘，重点探明抗联遗址遗迹及历史环境：探明抗联遗址遗迹的分布范围与格局，厘清总体格局、功能分区，摸清遗址遗迹的基本形制、功能；调查清楚与抗联遗址遗迹紧密关联的历史环境，包括地形地貌、植被、水源供给地等环境要素。</w:t>
      </w:r>
    </w:p>
    <w:p w14:paraId="2D98AC7B">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联合党史、军史、文物、考古、教育等多学科专家，组建本溪抗联文物和历史研究队伍。</w:t>
      </w:r>
      <w:r>
        <w:rPr>
          <w:rFonts w:hint="eastAsia" w:ascii="微软雅黑" w:hAnsi="微软雅黑" w:eastAsia="微软雅黑"/>
          <w:sz w:val="24"/>
        </w:rPr>
        <w:t>加强与中国抗联研究中心（牡丹江师范学院）、中共辽宁省委党史研究室以及相关研究机构、高等院校的沟通合作，推进抗联遗址遗迹在党史军史、保护技术、活化利用等方面的研究挖掘。主要研究遗址遗迹本体，包括抗联密营/根据地的选址格局、基本构成、功能分区；抗联遗址遗迹的建筑类型、设计和形式、技术和材料、使用和维护；抗联遗址遗迹的保护修复理念、方法、活化利用方式等。研究抗联历史及东北抗联精神，包括与本溪抗联遗址遗迹紧密关联的重要事件、重要人物、重头故事；东北抗联精神在本溪抗联遗址遗迹中的反映；结合新时代特点，研究阐发东北抗联精神在本溪的传承发展。</w:t>
      </w:r>
    </w:p>
    <w:p w14:paraId="551DA49A">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17" w:name="_Toc212564871"/>
      <w:r>
        <w:rPr>
          <w:rFonts w:hint="eastAsia" w:ascii="微软雅黑" w:hAnsi="微软雅黑" w:eastAsia="微软雅黑" w:cstheme="majorBidi"/>
          <w:b/>
          <w:bCs/>
          <w:sz w:val="28"/>
          <w:szCs w:val="28"/>
        </w:rPr>
        <w:t>5.2 申报全国重点文物保护单位</w:t>
      </w:r>
      <w:bookmarkEnd w:id="17"/>
    </w:p>
    <w:p w14:paraId="6D409171">
      <w:pPr>
        <w:spacing w:after="0" w:line="360" w:lineRule="auto"/>
        <w:ind w:firstLine="480" w:firstLineChars="200"/>
        <w:rPr>
          <w:rFonts w:hint="eastAsia" w:ascii="微软雅黑" w:hAnsi="微软雅黑" w:eastAsia="微软雅黑"/>
          <w:b/>
          <w:bCs/>
          <w:sz w:val="24"/>
        </w:rPr>
      </w:pPr>
      <w:r>
        <w:rPr>
          <w:rFonts w:hint="eastAsia" w:ascii="微软雅黑" w:hAnsi="微软雅黑" w:eastAsia="微软雅黑"/>
          <w:b/>
          <w:bCs/>
          <w:sz w:val="24"/>
        </w:rPr>
        <w:t>力争申报本溪抗联文物的全国重点文物保护单位。</w:t>
      </w:r>
      <w:r>
        <w:rPr>
          <w:rFonts w:hint="eastAsia" w:ascii="微软雅黑" w:hAnsi="微软雅黑" w:eastAsia="微软雅黑"/>
          <w:sz w:val="24"/>
        </w:rPr>
        <w:t>东北抗联是中国抗战史极为重要的历史篇章，但整个东三省与之相关的国保屈指可数（吉林红石砬子抗日根据地遗址、黑龙江朝阳山东北抗联第三路军密营遗址、辽宁中共满洲省委旧址），远远体现不出东北抗联在中国抗战史的重要意义，也无法体现辽宁省在东北抗联史中的重要地位。本溪是杨靖宇领导的东北抗联第一军的抗日主战场，也是南满省委、本桓抗日根据地、一军军部所在地，是全省最重要的抗联前沿阵地，也是全省规模最大、最完整的抗联遗址遗迹群，应争取抗联主题的全国重点文物保护单位。</w:t>
      </w:r>
    </w:p>
    <w:p w14:paraId="611892A9">
      <w:pPr>
        <w:spacing w:after="0" w:line="360" w:lineRule="auto"/>
        <w:ind w:firstLine="480" w:firstLineChars="200"/>
        <w:rPr>
          <w:rFonts w:hint="eastAsia" w:ascii="微软雅黑" w:hAnsi="微软雅黑" w:eastAsia="微软雅黑"/>
          <w:b/>
          <w:bCs/>
          <w:sz w:val="24"/>
        </w:rPr>
      </w:pPr>
      <w:r>
        <w:rPr>
          <w:rFonts w:hint="eastAsia" w:ascii="微软雅黑" w:hAnsi="微软雅黑" w:eastAsia="微软雅黑"/>
          <w:b/>
          <w:bCs/>
          <w:sz w:val="24"/>
        </w:rPr>
        <w:t>根据本溪抗联历史与遗址遗迹保存情况，建议重点研究三个申报全国重点文物保护单位的策略。</w:t>
      </w:r>
    </w:p>
    <w:p w14:paraId="06BF4BEB">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策略一：聚焦龙头山抗联一军军部遗址和中共南满省委机关遗址，申报全国重点文物保护单位。</w:t>
      </w:r>
    </w:p>
    <w:p w14:paraId="73D026C6">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策略二：以本桓抗日游击根据地为主题，整合本溪、桓仁两县代表性东北抗联文物，整体申报国保单位。</w:t>
      </w:r>
    </w:p>
    <w:p w14:paraId="136C60CF">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策略三：在本溪市（县）和桓仁县各选择一个代表性历史主题，分别申报全国重点文物保护单位。</w:t>
      </w:r>
    </w:p>
    <w:p w14:paraId="3FCAA7D0">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18" w:name="_Toc212564872"/>
      <w:r>
        <w:rPr>
          <w:rFonts w:hint="eastAsia" w:ascii="微软雅黑" w:hAnsi="微软雅黑" w:eastAsia="微软雅黑" w:cstheme="majorBidi"/>
          <w:b/>
          <w:bCs/>
          <w:sz w:val="28"/>
          <w:szCs w:val="28"/>
        </w:rPr>
        <w:t>5.3 夯实保护管理基础</w:t>
      </w:r>
      <w:bookmarkEnd w:id="18"/>
    </w:p>
    <w:p w14:paraId="5C949C65">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以抗联遗址遗迹调查为基础，开展文物认定和价值评估</w:t>
      </w:r>
      <w:r>
        <w:rPr>
          <w:rFonts w:hint="eastAsia" w:ascii="微软雅黑" w:hAnsi="微软雅黑" w:eastAsia="微软雅黑"/>
          <w:sz w:val="24"/>
        </w:rPr>
        <w:t>。对本溪境内有实物遗存的抗联遗址遗迹，原则上均应公布为县级以上文物。已认定为文物保护单位的，根据价值，可进一步申报相应级别的文物保护单位。汇集党史、军史、文物、考古等领域的专家，对新发现抗联遗址遗迹进行初步认定和评估。</w:t>
      </w:r>
    </w:p>
    <w:p w14:paraId="4C40B39F">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积极申报省级文物保护单位</w:t>
      </w:r>
      <w:r>
        <w:rPr>
          <w:rFonts w:hint="eastAsia" w:ascii="微软雅黑" w:hAnsi="微软雅黑" w:eastAsia="微软雅黑"/>
          <w:sz w:val="24"/>
        </w:rPr>
        <w:t>。建议对价值重大、真实性、完整性较好的遗址遗迹申报省级文物保护单位，进一步加强文物保护力度，提升社会认知度与文化影响力，促进文物合理利用与可持续发展。</w:t>
      </w:r>
    </w:p>
    <w:p w14:paraId="6937A7F0">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划定并公布新发现遗址遗迹保护区划，明确管理要求</w:t>
      </w:r>
      <w:r>
        <w:rPr>
          <w:rFonts w:hint="eastAsia" w:ascii="微软雅黑" w:hAnsi="微软雅黑" w:eastAsia="微软雅黑"/>
          <w:sz w:val="24"/>
        </w:rPr>
        <w:t>。划定并公布文物保护单位保护区划</w:t>
      </w:r>
      <w:r>
        <w:rPr>
          <w:rFonts w:ascii="微软雅黑" w:hAnsi="微软雅黑" w:eastAsia="微软雅黑"/>
          <w:sz w:val="24"/>
        </w:rPr>
        <w:t>；</w:t>
      </w:r>
      <w:r>
        <w:rPr>
          <w:rFonts w:hint="eastAsia" w:ascii="微软雅黑" w:hAnsi="微软雅黑" w:eastAsia="微软雅黑"/>
          <w:sz w:val="24"/>
        </w:rPr>
        <w:t>近期应优先结合第九批全国重点文物保护单位申报工作，划定拟申报国保文物保护单位的保护范围与建设控制地带。逐步划定全市各级文物保护单位的保护区划，明确保护范围及四至边界，与自然资源、林业等部门沟通，视情况划定必要的建设控制地带。</w:t>
      </w:r>
    </w:p>
    <w:p w14:paraId="17327F7A">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结合第四次文物普查，建立抗联文物“四有”档案</w:t>
      </w:r>
      <w:r>
        <w:rPr>
          <w:rFonts w:hint="eastAsia" w:ascii="微软雅黑" w:hAnsi="微软雅黑" w:eastAsia="微软雅黑"/>
          <w:sz w:val="24"/>
        </w:rPr>
        <w:t>。参照《全国重点文物保护单位保护范围、标志说明、记录档案和保管机构工作规范》《全国重点文物保护单位记录档案工作规范》等相关要求，设置保护标志碑、界桩，完善记录档案。设置必要的警示标识、围栏等，增强游客及周边民众保护意识。全国重点文物保护单位应落实专门的保护管理机构或人员。其他级别的文物保护单位和一般不可移动文物，可以委托所在景区管理维护；其他文物可按行政村范围分片，委托村民担任义务保护员，巡查维护。</w:t>
      </w:r>
    </w:p>
    <w:p w14:paraId="07512445">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19" w:name="_Toc212564873"/>
      <w:r>
        <w:rPr>
          <w:rFonts w:hint="eastAsia" w:ascii="微软雅黑" w:hAnsi="微软雅黑" w:eastAsia="微软雅黑" w:cstheme="majorBidi"/>
          <w:b/>
          <w:bCs/>
          <w:sz w:val="28"/>
          <w:szCs w:val="28"/>
        </w:rPr>
        <w:t>5.4 有序推进文物保护工程</w:t>
      </w:r>
      <w:bookmarkEnd w:id="19"/>
    </w:p>
    <w:p w14:paraId="4EE92057">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实施文物保护修缮试点工程</w:t>
      </w:r>
      <w:r>
        <w:rPr>
          <w:rFonts w:hint="eastAsia" w:ascii="微软雅黑" w:hAnsi="微软雅黑" w:eastAsia="微软雅黑"/>
          <w:sz w:val="24"/>
        </w:rPr>
        <w:t>。综合拟申报第九批全国重点文物保护单位的抗联文物、考古调查计划、展示利用重点对象等因素，遴选文物保护修缮试点工程：重点研究抗联遗址地窨子、战壕、掩体等类型遗址在实施植被清理、浮土处理等干预程度和技术措施；针对木头、块石等各类建筑构件制定归安的修缮原则和标准；支护结构、防雨棚、排水设施等保护性设施的建设必要性，材料和形式；文物周边地形地貌、植被、水井和水源地、山洞、秘密通道等历史环境要素的整体保护和景观修复方法；后续进行保养维护的频率和手段。</w:t>
      </w:r>
    </w:p>
    <w:p w14:paraId="608A8910">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明确抗联文物保护修缮基本要求</w:t>
      </w:r>
      <w:r>
        <w:rPr>
          <w:rFonts w:hint="eastAsia" w:ascii="微软雅黑" w:hAnsi="微软雅黑" w:eastAsia="微软雅黑"/>
          <w:sz w:val="24"/>
        </w:rPr>
        <w:t>。划定并公布文物保护单位保护区划</w:t>
      </w:r>
      <w:r>
        <w:rPr>
          <w:rFonts w:ascii="微软雅黑" w:hAnsi="微软雅黑" w:eastAsia="微软雅黑"/>
          <w:sz w:val="24"/>
        </w:rPr>
        <w:t>；</w:t>
      </w:r>
      <w:r>
        <w:rPr>
          <w:rFonts w:hint="eastAsia" w:ascii="微软雅黑" w:hAnsi="微软雅黑" w:eastAsia="微软雅黑"/>
          <w:sz w:val="24"/>
        </w:rPr>
        <w:t>近期应优先结合第九批全国重点文物保护单位申报工作，划定拟申报国保文物保护单位的保护范围与建设控制地带。逐步划定全市各级文物保护单位的保护区划，明确保护范围及四至边界，与自然资源、林草、水利等部门沟通，视情况划定必要的建设控制地带。以“同一主题、分布集中、内涵关联”为原则，凝练“本溪抗联文物连片保护项目”，争取纳入东北抗联革命文物保护片区总体规划。</w:t>
      </w:r>
    </w:p>
    <w:p w14:paraId="3DB91463">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20" w:name="_Toc212564874"/>
      <w:r>
        <w:rPr>
          <w:rFonts w:hint="eastAsia" w:ascii="微软雅黑" w:hAnsi="微软雅黑" w:eastAsia="微软雅黑" w:cstheme="majorBidi"/>
          <w:b/>
          <w:bCs/>
          <w:sz w:val="28"/>
          <w:szCs w:val="28"/>
        </w:rPr>
        <w:t>5.5 加强可移动文物保护管理</w:t>
      </w:r>
      <w:bookmarkEnd w:id="20"/>
    </w:p>
    <w:p w14:paraId="004FF130">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sz w:val="24"/>
        </w:rPr>
        <w:t>设立本溪抗联文物征收小组，专门负责全市范围内抗联主题文物的征收工作。建立包括党史、文物、考古等领域的专家鉴定制度，所有征收到的文物均应经过专家组鉴定确认后，方可入库。建立可移动文物数据库，所有文物征收时应详细记录文物现状（完残描述、照片、测量数据等），并及时编码、制卡、入库。将抗战文物的征收经费纳入市、县（区）年度财政预算，安排专款用于抗联主题文物持续征收，并专款专用。定期开展抗战文物的价值评估，根据征收文物的价值、保存状况等，按照相关要求申报认定一、二、三级文物。重要或具有代表性的文物应移至纪念馆展示。推进馆藏文物档案标准化、信息化建设，推广馆藏文物电子标识。针对材质脆弱文物、馆藏珍贵文物，有序推进数字化保护、预防性保护或修复项目。</w:t>
      </w:r>
    </w:p>
    <w:p w14:paraId="15E45C09">
      <w:pPr>
        <w:keepNext/>
        <w:keepLines/>
        <w:spacing w:before="480" w:after="80" w:line="360" w:lineRule="auto"/>
        <w:ind w:firstLine="560" w:firstLineChars="200"/>
        <w:outlineLvl w:val="0"/>
        <w:rPr>
          <w:rFonts w:hint="eastAsia" w:ascii="微软雅黑" w:hAnsi="微软雅黑" w:eastAsia="微软雅黑" w:cstheme="majorBidi"/>
          <w:b/>
          <w:bCs/>
          <w:sz w:val="28"/>
          <w:szCs w:val="28"/>
        </w:rPr>
      </w:pPr>
      <w:bookmarkStart w:id="21" w:name="_Toc212564875"/>
      <w:r>
        <w:rPr>
          <w:rFonts w:hint="eastAsia" w:ascii="微软雅黑" w:hAnsi="微软雅黑" w:eastAsia="微软雅黑" w:cstheme="majorBidi"/>
          <w:b/>
          <w:bCs/>
          <w:sz w:val="28"/>
          <w:szCs w:val="28"/>
        </w:rPr>
        <w:t>第六章 构建抗联文物展示阐释体系</w:t>
      </w:r>
      <w:bookmarkEnd w:id="21"/>
    </w:p>
    <w:p w14:paraId="74AB9571">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22" w:name="_Toc212564876"/>
      <w:r>
        <w:rPr>
          <w:rFonts w:hint="eastAsia" w:ascii="微软雅黑" w:hAnsi="微软雅黑" w:eastAsia="微软雅黑" w:cstheme="majorBidi"/>
          <w:b/>
          <w:bCs/>
          <w:sz w:val="28"/>
          <w:szCs w:val="28"/>
        </w:rPr>
        <w:t>6.1 构建展示阐释体系</w:t>
      </w:r>
      <w:bookmarkEnd w:id="22"/>
    </w:p>
    <w:p w14:paraId="759105E4">
      <w:pPr>
        <w:spacing w:line="360" w:lineRule="auto"/>
        <w:ind w:firstLine="480" w:firstLineChars="200"/>
        <w:rPr>
          <w:rFonts w:ascii="微软雅黑" w:hAnsi="微软雅黑" w:eastAsia="微软雅黑"/>
          <w:b/>
          <w:bCs/>
          <w:sz w:val="24"/>
        </w:rPr>
      </w:pPr>
      <w:r>
        <w:rPr>
          <w:rFonts w:hint="eastAsia" w:ascii="微软雅黑" w:hAnsi="微软雅黑" w:eastAsia="微软雅黑"/>
          <w:b/>
          <w:bCs/>
          <w:sz w:val="24"/>
        </w:rPr>
        <w:t>（一）构建“战略枢纽”“抗联前沿”“国歌英魂”展示阐释体系</w:t>
      </w:r>
    </w:p>
    <w:p w14:paraId="4CAD5A81">
      <w:pPr>
        <w:spacing w:line="360" w:lineRule="auto"/>
        <w:ind w:firstLine="480" w:firstLineChars="200"/>
        <w:rPr>
          <w:rFonts w:ascii="微软雅黑" w:hAnsi="微软雅黑" w:eastAsia="微软雅黑"/>
          <w:b/>
          <w:bCs/>
          <w:sz w:val="24"/>
        </w:rPr>
      </w:pPr>
      <w:r>
        <w:rPr>
          <w:rFonts w:hint="eastAsia" w:ascii="微软雅黑" w:hAnsi="微软雅黑" w:eastAsia="微软雅黑"/>
          <w:b/>
          <w:bCs/>
          <w:sz w:val="24"/>
        </w:rPr>
        <w:t>主题一：战略枢纽。</w:t>
      </w:r>
    </w:p>
    <w:p w14:paraId="5F540531">
      <w:pPr>
        <w:spacing w:line="360" w:lineRule="auto"/>
        <w:ind w:firstLine="480" w:firstLineChars="200"/>
        <w:rPr>
          <w:rFonts w:ascii="微软雅黑" w:hAnsi="微软雅黑" w:eastAsia="微软雅黑"/>
          <w:sz w:val="24"/>
        </w:rPr>
      </w:pPr>
      <w:r>
        <w:rPr>
          <w:rFonts w:hint="eastAsia" w:ascii="微软雅黑" w:hAnsi="微软雅黑" w:eastAsia="微软雅黑"/>
          <w:sz w:val="24"/>
        </w:rPr>
        <w:t>战略枢纽展示阐释主题包含军事要津、动脉枢纽、特殊工人三个子主题。军事要津主题主要展示本溪拥有的军事防御天然屏障的地理优势，四通八达的战略中心和全民抗战地缘环境的历史背景。动脉枢纽主题展示本溪铁路的交通动脉，以战养战的经济后方资源富足的工业重地等资源优势。特殊工人主题重点展示李兆麟创立中共本溪特别支部以及“特殊工人”运动。</w:t>
      </w:r>
    </w:p>
    <w:p w14:paraId="12EDE88C">
      <w:pPr>
        <w:spacing w:line="360" w:lineRule="auto"/>
        <w:ind w:firstLine="480" w:firstLineChars="200"/>
        <w:rPr>
          <w:rFonts w:ascii="微软雅黑" w:hAnsi="微软雅黑" w:eastAsia="微软雅黑"/>
          <w:b/>
          <w:bCs/>
          <w:sz w:val="24"/>
        </w:rPr>
      </w:pPr>
      <w:r>
        <w:rPr>
          <w:rFonts w:hint="eastAsia" w:ascii="微软雅黑" w:hAnsi="微软雅黑" w:eastAsia="微软雅黑"/>
          <w:b/>
          <w:bCs/>
          <w:sz w:val="24"/>
        </w:rPr>
        <w:t>主题二：抗联前沿。</w:t>
      </w:r>
    </w:p>
    <w:p w14:paraId="1B73D6F8">
      <w:pPr>
        <w:spacing w:line="360" w:lineRule="auto"/>
        <w:ind w:firstLine="480" w:firstLineChars="200"/>
        <w:rPr>
          <w:rFonts w:ascii="微软雅黑" w:hAnsi="微软雅黑" w:eastAsia="微软雅黑"/>
          <w:sz w:val="24"/>
        </w:rPr>
      </w:pPr>
      <w:r>
        <w:rPr>
          <w:rFonts w:hint="eastAsia" w:ascii="微软雅黑" w:hAnsi="微软雅黑" w:eastAsia="微软雅黑"/>
          <w:sz w:val="24"/>
        </w:rPr>
        <w:t>抗联前沿展示阐释主题包含本桓抗联、重大战果、党组织建设三个子主题。本桓抗联主题主要展示抗联根据地建设、战略布局和艰苦卓绝的战斗历史；重大战果主题聚焦于摩天岭大捷、老边沟大捷等胜利战斗历史；党组织建设主题展示两次西征迎组织、南满省委成立等历史内容。</w:t>
      </w:r>
    </w:p>
    <w:p w14:paraId="6AD2EE1E">
      <w:pPr>
        <w:spacing w:line="360" w:lineRule="auto"/>
        <w:ind w:firstLine="480" w:firstLineChars="200"/>
        <w:rPr>
          <w:rFonts w:ascii="微软雅黑" w:hAnsi="微软雅黑" w:eastAsia="微软雅黑"/>
          <w:b/>
          <w:bCs/>
          <w:sz w:val="24"/>
        </w:rPr>
      </w:pPr>
      <w:r>
        <w:rPr>
          <w:rFonts w:hint="eastAsia" w:ascii="微软雅黑" w:hAnsi="微软雅黑" w:eastAsia="微软雅黑"/>
          <w:b/>
          <w:bCs/>
          <w:sz w:val="24"/>
        </w:rPr>
        <w:t>主题三：国歌英魂。</w:t>
      </w:r>
    </w:p>
    <w:p w14:paraId="1FFDFFCC">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国歌英魂展示阐释主题包含义勇军策源地、民族英魂、勿忘国耻三个子主题。义勇军策源地主题主要展示全民抗战、义勇军抗日斗争和国歌渊源历史；民族英魂主题主要展示杨靖宇、邓铁梅、唐聚五等爱国英雄的个人事迹；勿忘国耻主要展示连山关日军建筑群、下马塘铁路碉堡、西江惨案等日军罪证历史内容。</w:t>
      </w:r>
    </w:p>
    <w:p w14:paraId="42245AC5">
      <w:pPr>
        <w:spacing w:line="360" w:lineRule="auto"/>
        <w:ind w:firstLine="480" w:firstLineChars="200"/>
        <w:rPr>
          <w:rFonts w:hint="eastAsia" w:ascii="微软雅黑" w:hAnsi="微软雅黑" w:eastAsia="微软雅黑"/>
          <w:b/>
          <w:bCs/>
          <w:sz w:val="24"/>
        </w:rPr>
      </w:pPr>
      <w:r>
        <w:rPr>
          <w:rFonts w:hint="eastAsia" w:ascii="微软雅黑" w:hAnsi="微软雅黑" w:eastAsia="微软雅黑"/>
          <w:b/>
          <w:bCs/>
          <w:sz w:val="24"/>
        </w:rPr>
        <w:t>（二）建立“一核两馆四片区，一廊七村两游径”发展格局</w:t>
      </w:r>
    </w:p>
    <w:p w14:paraId="07BB075E">
      <w:pPr>
        <w:spacing w:after="0" w:line="360" w:lineRule="auto"/>
        <w:ind w:firstLine="480" w:firstLineChars="200"/>
        <w:rPr>
          <w:rFonts w:hint="eastAsia" w:ascii="微软雅黑" w:hAnsi="微软雅黑" w:eastAsia="微软雅黑"/>
          <w:b/>
          <w:bCs/>
          <w:sz w:val="24"/>
        </w:rPr>
      </w:pPr>
      <w:r>
        <w:rPr>
          <w:rFonts w:hint="eastAsia" w:ascii="微软雅黑" w:hAnsi="微软雅黑" w:eastAsia="微软雅黑"/>
          <w:b/>
          <w:bCs/>
          <w:sz w:val="24"/>
        </w:rPr>
        <w:t>1)一核：</w:t>
      </w:r>
    </w:p>
    <w:p w14:paraId="2D1665C9">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本桓抗日根据地展示核心</w:t>
      </w:r>
      <w:r>
        <w:rPr>
          <w:rFonts w:hint="eastAsia" w:ascii="微软雅黑" w:hAnsi="微软雅黑" w:eastAsia="微软雅黑"/>
          <w:sz w:val="24"/>
        </w:rPr>
        <w:t>：打造抗联主题红色景区——本桓抗日根据地红色景区。以龙头山抗联一军军部遗址及南满省委机关遗址为核心，结合抗联遗址遗迹展示，打造集“文化展示、沉浸式体验、国防教育、生态休闲”等功能于一体的辽宁省首个抗联主题景区。与区域内乡村旅游、休闲农业、特色农业相结合，带动区域内村庄的旅游配套产业发展和就业。</w:t>
      </w:r>
    </w:p>
    <w:p w14:paraId="4F4B922E">
      <w:pPr>
        <w:spacing w:after="0" w:line="360" w:lineRule="auto"/>
        <w:ind w:firstLine="480" w:firstLineChars="200"/>
        <w:rPr>
          <w:rFonts w:hint="eastAsia" w:ascii="微软雅黑" w:hAnsi="微软雅黑" w:eastAsia="微软雅黑"/>
          <w:b/>
          <w:bCs/>
          <w:sz w:val="24"/>
        </w:rPr>
      </w:pPr>
      <w:r>
        <w:rPr>
          <w:rFonts w:hint="eastAsia" w:ascii="微软雅黑" w:hAnsi="微软雅黑" w:eastAsia="微软雅黑"/>
          <w:b/>
          <w:bCs/>
          <w:sz w:val="24"/>
        </w:rPr>
        <w:t>2)两馆：</w:t>
      </w:r>
    </w:p>
    <w:p w14:paraId="2133D777">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东北抗联史实陈列馆改扩建。</w:t>
      </w:r>
      <w:r>
        <w:rPr>
          <w:rFonts w:hint="eastAsia" w:ascii="微软雅黑" w:hAnsi="微软雅黑" w:eastAsia="微软雅黑"/>
          <w:sz w:val="24"/>
        </w:rPr>
        <w:t>借助中央部委对东北抗联文物保护的高度重视契机，推动东北抗联史实陈列馆改扩建。利用纪念馆西侧地块进行改扩建，扩建规模原则上不超过1500平方米，纪念馆改扩建应与原建筑紧密相连，外观形制保持一致。扩建后的室内空间，应优先聚焦本溪抗联史实的展示。按程序做好纪念馆改扩建项目审批工作，不得未批先建。</w:t>
      </w:r>
    </w:p>
    <w:p w14:paraId="5CDDA128">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w:t>
      </w:r>
      <w:r>
        <w:rPr>
          <w:rFonts w:hint="eastAsia" w:ascii="微软雅黑" w:hAnsi="微软雅黑" w:eastAsia="微软雅黑"/>
          <w:b/>
          <w:bCs/>
          <w:i/>
          <w:iCs/>
          <w:szCs w:val="22"/>
        </w:rPr>
        <w:t>打造东北抗联英烈纪念广场。</w:t>
      </w:r>
      <w:r>
        <w:rPr>
          <w:rFonts w:hint="eastAsia" w:ascii="微软雅黑" w:hAnsi="微软雅黑" w:eastAsia="微软雅黑"/>
          <w:i/>
          <w:iCs/>
          <w:szCs w:val="22"/>
        </w:rPr>
        <w:t>在东北抗联史实陈列馆前广场以景观的形式打造本溪抗联英烈纪念广场，为场馆增设提供追思、缅怀、体现历史感的场所。打造有“奇观”类的场地或纪念性景观构筑物，增加主题展示的感染力，形成更宏大的讲述空间，更加完整、系统地阐释抗战历史和营造纪念性氛围。增加实景塑造和体验性内容，可策划组织相关纪念性户外活动，让党员、游客等有机会切身体验历史的真实感，让游客更加开放地参观、缅怀先烈，增加游客体验感的同时，也通过自由漫游的形式，增加游客驻足时长。与城市生活功能相结合，为周边城区的市民提供城市活动空间，让游客感受到历史与生活的联系。</w:t>
      </w:r>
      <w:r>
        <w:rPr>
          <w:rFonts w:hint="eastAsia" w:ascii="微软雅黑" w:hAnsi="微软雅黑" w:eastAsia="微软雅黑"/>
          <w:sz w:val="24"/>
        </w:rPr>
        <w:t>)</w:t>
      </w:r>
    </w:p>
    <w:p w14:paraId="3D7C6CD3">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东北义勇军纪念馆展陈提升：</w:t>
      </w:r>
      <w:r>
        <w:rPr>
          <w:rFonts w:hint="eastAsia" w:ascii="微软雅黑" w:hAnsi="微软雅黑" w:eastAsia="微软雅黑"/>
          <w:sz w:val="24"/>
        </w:rPr>
        <w:t>依托东北抗日义勇军纪念馆，利用纪念馆周边山体地形，打造国内首个以国歌为题材的纪念园。用音乐主题纪念园的模式，结合景观让国歌等革命歌曲的创作历程展示更有感染力。与纪念馆共同形成义勇军抗战精神传承基地。</w:t>
      </w:r>
    </w:p>
    <w:p w14:paraId="6967A6B4">
      <w:pPr>
        <w:spacing w:line="360" w:lineRule="auto"/>
        <w:ind w:firstLine="440" w:firstLineChars="200"/>
        <w:rPr>
          <w:rFonts w:hint="eastAsia" w:ascii="微软雅黑" w:hAnsi="微软雅黑" w:eastAsia="微软雅黑"/>
          <w:sz w:val="24"/>
        </w:rPr>
      </w:pPr>
      <w:r>
        <w:rPr>
          <w:rFonts w:hint="eastAsia" w:ascii="微软雅黑" w:hAnsi="微软雅黑" w:eastAsia="微软雅黑"/>
          <w:i/>
          <w:iCs/>
          <w:szCs w:val="22"/>
        </w:rPr>
        <w:t>（以国歌演变历程为背景，利用山体地形建设国歌创作历程展示步道、国歌纪念广场；通过景墙、景观小品阐释国歌的取材、创作、传颂历程。设置革命歌曲纪念廊广泛展示革命主题歌曲。打造义勇军文化讲堂，综合提供展示+教学+拓展体验空间。利用场地水景，打造国歌小剧场；广场置入音乐互动装置，丰富抗日歌曲体验形式。定期邀请音乐学院或社会交响乐团演奏不同时期的义勇军歌曲；结合VR、扫码音频点歌播放等形式与音乐装置互动。）</w:t>
      </w:r>
    </w:p>
    <w:p w14:paraId="48732F3E">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3）四片区</w:t>
      </w:r>
    </w:p>
    <w:p w14:paraId="05E82DED">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东北抗日义勇军策源地展示片区</w:t>
      </w:r>
      <w:r>
        <w:rPr>
          <w:rFonts w:ascii="微软雅黑" w:hAnsi="微软雅黑" w:eastAsia="微软雅黑"/>
          <w:sz w:val="24"/>
        </w:rPr>
        <w:t>：</w:t>
      </w:r>
      <w:r>
        <w:rPr>
          <w:rFonts w:hint="eastAsia" w:ascii="微软雅黑" w:hAnsi="微软雅黑" w:eastAsia="微软雅黑"/>
          <w:sz w:val="24"/>
        </w:rPr>
        <w:t>依托桓仁县现有与义勇军抗战相关的文物，整体打造义勇军抗战主题展示片区，讲好义勇军抗战策源地故事。</w:t>
      </w:r>
    </w:p>
    <w:p w14:paraId="37368CC1">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抗联一军第一次西征展示片区</w:t>
      </w:r>
      <w:r>
        <w:rPr>
          <w:rFonts w:ascii="微软雅黑" w:hAnsi="微软雅黑" w:eastAsia="微软雅黑"/>
          <w:sz w:val="24"/>
        </w:rPr>
        <w:t>：</w:t>
      </w:r>
      <w:r>
        <w:rPr>
          <w:rFonts w:hint="eastAsia" w:ascii="微软雅黑" w:hAnsi="微软雅黑" w:eastAsia="微软雅黑"/>
          <w:sz w:val="24"/>
        </w:rPr>
        <w:t>以抗联一军第一次西征相关遗址遗迹为核心，集中建设阐述抗联一军第一次西征史实与历程的展示片区，并与关山湖自然景观、生物科普、野外生存体验等项目融合，形成科普体验发展片区。</w:t>
      </w:r>
    </w:p>
    <w:p w14:paraId="42C28FAC">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抗联一军第二次西征展示片区</w:t>
      </w:r>
      <w:r>
        <w:rPr>
          <w:rFonts w:ascii="微软雅黑" w:hAnsi="微软雅黑" w:eastAsia="微软雅黑"/>
          <w:sz w:val="24"/>
        </w:rPr>
        <w:t>：</w:t>
      </w:r>
      <w:r>
        <w:rPr>
          <w:rFonts w:hint="eastAsia" w:ascii="微软雅黑" w:hAnsi="微软雅黑" w:eastAsia="微软雅黑"/>
          <w:sz w:val="24"/>
        </w:rPr>
        <w:t>以抗联一军第二次西征相关遗址遗迹为核心，集中建设阐述抗联一军第二次西征史实与历程的展示片区，并与周边的老边沟景区等融合，形成红色+绿色融合发展片区。</w:t>
      </w:r>
    </w:p>
    <w:p w14:paraId="3D0E7EDE">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“特殊工人”反日斗争展示片区</w:t>
      </w:r>
      <w:r>
        <w:rPr>
          <w:rFonts w:ascii="微软雅黑" w:hAnsi="微软雅黑" w:eastAsia="微软雅黑"/>
          <w:sz w:val="24"/>
        </w:rPr>
        <w:t>：</w:t>
      </w:r>
      <w:r>
        <w:rPr>
          <w:rFonts w:hint="eastAsia" w:ascii="微软雅黑" w:hAnsi="微软雅黑" w:eastAsia="微软雅黑"/>
          <w:sz w:val="24"/>
        </w:rPr>
        <w:t>依托本溪湖工业遗产及反日斗争运动相关文物要素，通过设立展示馆、强化文物展示、建立主题参观路线等，形成“特殊工人”反日斗争展示片区，并与本溪湖工业遗产保护利用相结合，形成“红色+工业”的展示、教育、业态等融合发展片区。</w:t>
      </w:r>
    </w:p>
    <w:p w14:paraId="7025EC21">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4）一廊</w:t>
      </w:r>
    </w:p>
    <w:p w14:paraId="79E093E3">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以本溪抗联史实与抗联遗址遗迹为支撑，与文物主题游径相结合，依托抗联专线旅游火车，打造贯通本溪与桓仁的抗联主题廊道。沿线标识导览设施建设：沿线抗联遗址遗迹，增加标识导览设施，明确遗址位置、登山距离、历史背景等；重点资源节点，考虑适当的入口景观建设，增强标识度。</w:t>
      </w:r>
    </w:p>
    <w:p w14:paraId="37966CDE">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5）七村试点</w:t>
      </w:r>
    </w:p>
    <w:p w14:paraId="20DB4ECD">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本溪抗联遗址遗迹遍布在全市各个乡镇，在历史、空间等维度上与乡村紧密结合。通过抗联遗址遗迹保护利用及红色文化旅游产业发展，带动和促进周边乡村的发展。提出以海青伙洛、瓦房村、大南沟村、夹道村、红土甸子村、红通沟村、仙人洞村等七个试点村为代表，通过服务配套设施建设，提升村庄环境品质，带动村民就业，探索抗联遗址遗迹在保护利用实践中给乡村带来的振兴机遇。</w:t>
      </w:r>
    </w:p>
    <w:p w14:paraId="186AD342">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6）两游径</w:t>
      </w:r>
    </w:p>
    <w:p w14:paraId="55375B13">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打造“抗日战争寻始访终”文物主题游径——本溪段</w:t>
      </w:r>
      <w:r>
        <w:rPr>
          <w:rFonts w:ascii="微软雅黑" w:hAnsi="微软雅黑" w:eastAsia="微软雅黑"/>
          <w:sz w:val="24"/>
        </w:rPr>
        <w:t>：</w:t>
      </w:r>
      <w:r>
        <w:rPr>
          <w:rFonts w:hint="eastAsia" w:ascii="微软雅黑" w:hAnsi="微软雅黑" w:eastAsia="微软雅黑"/>
          <w:sz w:val="24"/>
        </w:rPr>
        <w:t>结合辽宁省重点建设的“抗日战争寻始访终”文物主题游径，围绕本溪市作为辽宁省抗战主战场及抗战起始地的历史背景，以本溪抗联史实为依托，推进本溪段东北抗联文物主题游径建设。同时与沈阳、丹东等临近地区串联。以民国时期建筑风格为特色，对该列车沿线现有的车站进行主题改造，营造民国时代风格，塑造富有年代感的网红打卡小场景。同时，结合各车站文化主题，融入抗联、义勇军、世界遗产等文化元素。</w:t>
      </w:r>
    </w:p>
    <w:p w14:paraId="47ADC869">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抗联第一路军“西征”文物主题游径</w:t>
      </w:r>
      <w:r>
        <w:rPr>
          <w:rFonts w:ascii="微软雅黑" w:hAnsi="微软雅黑" w:eastAsia="微软雅黑"/>
          <w:sz w:val="24"/>
        </w:rPr>
        <w:t xml:space="preserve">： </w:t>
      </w:r>
      <w:r>
        <w:rPr>
          <w:rFonts w:hint="eastAsia" w:ascii="微软雅黑" w:hAnsi="微软雅黑" w:eastAsia="微软雅黑"/>
          <w:sz w:val="24"/>
        </w:rPr>
        <w:t>整合游径沿线的老边沟、水洞、关山湖等景区，借助自然生态及网红景点，与抗联历史、抗联体验相结合，打造一条以教育、体验、休闲为主题的游径。</w:t>
      </w:r>
    </w:p>
    <w:p w14:paraId="70EE3C2F">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23" w:name="_Toc212564877"/>
      <w:r>
        <w:rPr>
          <w:rFonts w:hint="eastAsia" w:ascii="微软雅黑" w:hAnsi="微软雅黑" w:eastAsia="微软雅黑" w:cstheme="majorBidi"/>
          <w:b/>
          <w:bCs/>
          <w:sz w:val="28"/>
          <w:szCs w:val="28"/>
        </w:rPr>
        <w:t>6.2 完善标识导览系统</w:t>
      </w:r>
      <w:bookmarkEnd w:id="23"/>
    </w:p>
    <w:p w14:paraId="7E87C152">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建立本溪抗联主题标识体系，设计统一LOGO形象</w:t>
      </w:r>
      <w:r>
        <w:rPr>
          <w:rFonts w:hint="eastAsia" w:ascii="微软雅黑" w:hAnsi="微软雅黑" w:eastAsia="微软雅黑"/>
          <w:sz w:val="24"/>
        </w:rPr>
        <w:t>。</w:t>
      </w:r>
      <w:r>
        <w:rPr>
          <w:rFonts w:ascii="微软雅黑" w:hAnsi="微软雅黑" w:eastAsia="微软雅黑"/>
          <w:sz w:val="24"/>
        </w:rPr>
        <w:t>塑造</w:t>
      </w:r>
      <w:r>
        <w:rPr>
          <w:rFonts w:hint="eastAsia" w:ascii="微软雅黑" w:hAnsi="微软雅黑" w:eastAsia="微软雅黑"/>
          <w:sz w:val="24"/>
        </w:rPr>
        <w:t>本溪抗联主题logo标识、全域导览线路图、红色旅游手册</w:t>
      </w:r>
      <w:r>
        <w:rPr>
          <w:rFonts w:ascii="微软雅黑" w:hAnsi="微软雅黑" w:eastAsia="微软雅黑"/>
          <w:sz w:val="24"/>
        </w:rPr>
        <w:t>，</w:t>
      </w:r>
      <w:r>
        <w:rPr>
          <w:rFonts w:hint="eastAsia" w:ascii="微软雅黑" w:hAnsi="微软雅黑" w:eastAsia="微软雅黑"/>
          <w:sz w:val="24"/>
        </w:rPr>
        <w:t>设置在各个进入本溪市的省道、国道、高速公路收费站、休息点，以及市域内重要人群聚集地。</w:t>
      </w:r>
    </w:p>
    <w:p w14:paraId="39105682">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增设交通路线导览标识。</w:t>
      </w:r>
      <w:r>
        <w:rPr>
          <w:rFonts w:hint="eastAsia" w:ascii="微软雅黑" w:hAnsi="微软雅黑" w:eastAsia="微软雅黑"/>
          <w:sz w:val="24"/>
        </w:rPr>
        <w:t>在主要车行道路交接点位置、重要抗联景区、园区车行道位置等场地空间设置交通指示牌、引导牌、距离提示牌，增加抗联遗址游览的引导功能。</w:t>
      </w:r>
    </w:p>
    <w:p w14:paraId="42D38C79">
      <w:pPr>
        <w:spacing w:line="360" w:lineRule="auto"/>
        <w:ind w:firstLine="480" w:firstLineChars="200"/>
        <w:rPr>
          <w:rFonts w:hint="eastAsia" w:ascii="微软雅黑" w:hAnsi="微软雅黑" w:eastAsia="微软雅黑"/>
          <w:sz w:val="24"/>
        </w:rPr>
      </w:pPr>
      <w:r>
        <w:rPr>
          <w:rFonts w:ascii="微软雅黑" w:hAnsi="微软雅黑" w:eastAsia="微软雅黑"/>
          <w:b/>
          <w:bCs/>
          <w:sz w:val="24"/>
        </w:rPr>
        <w:t>打造</w:t>
      </w:r>
      <w:r>
        <w:rPr>
          <w:rFonts w:hint="eastAsia" w:ascii="微软雅黑" w:hAnsi="微软雅黑" w:eastAsia="微软雅黑"/>
          <w:b/>
          <w:bCs/>
          <w:sz w:val="24"/>
        </w:rPr>
        <w:t>红色景区、园区、聚集区标识。</w:t>
      </w:r>
      <w:r>
        <w:rPr>
          <w:rFonts w:hint="eastAsia" w:ascii="微软雅黑" w:hAnsi="微软雅黑" w:eastAsia="微软雅黑"/>
          <w:sz w:val="24"/>
        </w:rPr>
        <w:t>在抗联园区内主要交通系统（道路、停车场）、配套设施位置、重要文物位置</w:t>
      </w:r>
      <w:r>
        <w:rPr>
          <w:rFonts w:ascii="微软雅黑" w:hAnsi="微软雅黑" w:eastAsia="微软雅黑"/>
          <w:sz w:val="24"/>
        </w:rPr>
        <w:t>，</w:t>
      </w:r>
      <w:r>
        <w:rPr>
          <w:rFonts w:hint="eastAsia" w:ascii="微软雅黑" w:hAnsi="微软雅黑" w:eastAsia="微软雅黑"/>
          <w:sz w:val="24"/>
        </w:rPr>
        <w:t>包括入口标识、景区导览、车行指示牌、人行指示牌、配套设施标识、重要点位标识牌、介绍牌、警示牌。</w:t>
      </w:r>
    </w:p>
    <w:p w14:paraId="48C0D03A">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24" w:name="_Toc212564878"/>
      <w:r>
        <w:rPr>
          <w:rFonts w:hint="eastAsia" w:ascii="微软雅黑" w:hAnsi="微软雅黑" w:eastAsia="微软雅黑" w:cstheme="majorBidi"/>
          <w:b/>
          <w:bCs/>
          <w:sz w:val="28"/>
          <w:szCs w:val="28"/>
        </w:rPr>
        <w:t>6.3 加强宣传推广</w:t>
      </w:r>
      <w:bookmarkEnd w:id="24"/>
    </w:p>
    <w:p w14:paraId="28012BD8">
      <w:pPr>
        <w:spacing w:line="360" w:lineRule="auto"/>
        <w:ind w:firstLine="480" w:firstLineChars="200"/>
        <w:rPr>
          <w:rFonts w:hint="eastAsia" w:ascii="微软雅黑" w:hAnsi="微软雅黑" w:eastAsia="微软雅黑"/>
          <w:sz w:val="24"/>
        </w:rPr>
      </w:pPr>
      <w:bookmarkStart w:id="25" w:name="_Toc212564879"/>
      <w:r>
        <w:rPr>
          <w:rFonts w:hint="eastAsia" w:ascii="微软雅黑" w:hAnsi="微软雅黑" w:eastAsia="微软雅黑"/>
          <w:sz w:val="24"/>
        </w:rPr>
        <w:t>借助抖音等平台，推广本溪抗联主题产品</w:t>
      </w:r>
      <w:r>
        <w:rPr>
          <w:rFonts w:ascii="微软雅黑" w:hAnsi="微软雅黑" w:eastAsia="微软雅黑"/>
          <w:sz w:val="24"/>
        </w:rPr>
        <w:t>，</w:t>
      </w:r>
      <w:r>
        <w:rPr>
          <w:rFonts w:hint="eastAsia" w:ascii="微软雅黑" w:hAnsi="微软雅黑" w:eastAsia="微软雅黑"/>
          <w:sz w:val="24"/>
        </w:rPr>
        <w:t>创作本溪抗联文创与IP形象，打造以本溪抗联为题材的红色影视作品，依托抗联时期的军民故事，精准还原时代氛围，拒绝枯燥说教，塑造可亲可感的人物、饱满的社会生活叙事，打造观众与历史的隔空对话。</w:t>
      </w:r>
    </w:p>
    <w:p w14:paraId="4FFBD117">
      <w:pPr>
        <w:keepNext/>
        <w:keepLines/>
        <w:spacing w:before="480" w:after="80" w:line="360" w:lineRule="auto"/>
        <w:ind w:firstLine="560" w:firstLineChars="200"/>
        <w:outlineLvl w:val="0"/>
        <w:rPr>
          <w:rFonts w:hint="eastAsia" w:ascii="微软雅黑" w:hAnsi="微软雅黑" w:eastAsia="微软雅黑" w:cstheme="majorBidi"/>
          <w:b/>
          <w:bCs/>
          <w:sz w:val="28"/>
          <w:szCs w:val="28"/>
        </w:rPr>
      </w:pPr>
      <w:r>
        <w:rPr>
          <w:rFonts w:hint="eastAsia" w:ascii="微软雅黑" w:hAnsi="微软雅黑" w:eastAsia="微软雅黑" w:cstheme="majorBidi"/>
          <w:b/>
          <w:bCs/>
          <w:sz w:val="28"/>
          <w:szCs w:val="28"/>
        </w:rPr>
        <w:t>第七章 探索抗联文物管理模式创新</w:t>
      </w:r>
      <w:bookmarkEnd w:id="25"/>
    </w:p>
    <w:p w14:paraId="0A912E1C">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26" w:name="_Toc212564880"/>
      <w:r>
        <w:rPr>
          <w:rFonts w:hint="eastAsia" w:ascii="微软雅黑" w:hAnsi="微软雅黑" w:eastAsia="微软雅黑" w:cstheme="majorBidi"/>
          <w:b/>
          <w:bCs/>
          <w:sz w:val="28"/>
          <w:szCs w:val="28"/>
        </w:rPr>
        <w:t>7.1 探索部门协同管理模式</w:t>
      </w:r>
      <w:bookmarkEnd w:id="26"/>
    </w:p>
    <w:p w14:paraId="7EA297F9">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以本溪抗联遗址遗迹为基础，在政企合作、部门协同、区域协作等方面探索新的管理路径，在抗联遗址遗迹保护管理、展示利用、开发建设方面寻找新的方法，为东北抗联遗址遗迹保护管理与展示利用摸索经验。</w:t>
      </w:r>
    </w:p>
    <w:p w14:paraId="3EAD2750">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探索政府部门之间的协同，形成部门合力</w:t>
      </w:r>
      <w:r>
        <w:rPr>
          <w:rFonts w:ascii="微软雅黑" w:hAnsi="微软雅黑" w:eastAsia="微软雅黑"/>
          <w:sz w:val="24"/>
        </w:rPr>
        <w:t>。</w:t>
      </w:r>
      <w:r>
        <w:rPr>
          <w:rFonts w:hint="eastAsia" w:ascii="微软雅黑" w:hAnsi="微软雅黑" w:eastAsia="微软雅黑"/>
          <w:sz w:val="24"/>
        </w:rPr>
        <w:t>与市县相关部门在政策、资金、人力、物力等方面形成部门合力，共同推动抗联文物保护管理。发挥属地政府各部门在政策、资金、人力等方面的力量，相互借力，形成资源统筹保护管理的合力。</w:t>
      </w:r>
    </w:p>
    <w:p w14:paraId="13CA0BA5">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27" w:name="_Toc212564881"/>
      <w:r>
        <w:rPr>
          <w:rFonts w:hint="eastAsia" w:ascii="微软雅黑" w:hAnsi="微软雅黑" w:eastAsia="微软雅黑" w:cstheme="majorBidi"/>
          <w:b/>
          <w:bCs/>
          <w:sz w:val="28"/>
          <w:szCs w:val="28"/>
        </w:rPr>
        <w:t>7.2 探索政企合作管理模式</w:t>
      </w:r>
      <w:bookmarkEnd w:id="27"/>
    </w:p>
    <w:p w14:paraId="492D7BC7">
      <w:pPr>
        <w:spacing w:line="360" w:lineRule="auto"/>
        <w:ind w:firstLine="480" w:firstLineChars="200"/>
        <w:rPr>
          <w:rFonts w:hint="eastAsia" w:ascii="微软雅黑" w:hAnsi="微软雅黑" w:eastAsia="微软雅黑"/>
          <w:sz w:val="24"/>
        </w:rPr>
      </w:pPr>
      <w:bookmarkStart w:id="28" w:name="_Toc212564882"/>
      <w:r>
        <w:rPr>
          <w:rFonts w:hint="eastAsia" w:ascii="微软雅黑" w:hAnsi="微软雅黑" w:eastAsia="微软雅黑"/>
          <w:sz w:val="24"/>
        </w:rPr>
        <w:t>政府与企业联合开发、共同管理抗联遗址遗迹</w:t>
      </w:r>
      <w:r>
        <w:rPr>
          <w:rFonts w:ascii="微软雅黑" w:hAnsi="微软雅黑" w:eastAsia="微软雅黑"/>
          <w:sz w:val="24"/>
        </w:rPr>
        <w:t>。</w:t>
      </w:r>
      <w:r>
        <w:rPr>
          <w:rFonts w:hint="eastAsia" w:ascii="微软雅黑" w:hAnsi="微软雅黑" w:eastAsia="微软雅黑"/>
          <w:sz w:val="24"/>
        </w:rPr>
        <w:t>分别利用专项资金和企业资金，共同打造抗联主题红色景区；结合景区配套设施建设，提供抗联文化展示空间。政府出资提升改善景区的交通、市政等基础设施；企业负责景区配套建设及产品开发。由企业负责景区的整体运营，政府以股权的形式参与景区运营。同时，发挥企业的社会责任，带动周边村民就业。引领企业参与景区内抗联文物的现场管理与日常维护，政府文物部门负责现场管理人员的专业培训与指导；景区部分收益用于文物的日常保养和修复工作。</w:t>
      </w:r>
    </w:p>
    <w:p w14:paraId="70F25C07">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r>
        <w:rPr>
          <w:rFonts w:hint="eastAsia" w:ascii="微软雅黑" w:hAnsi="微软雅黑" w:eastAsia="微软雅黑" w:cstheme="majorBidi"/>
          <w:b/>
          <w:bCs/>
          <w:sz w:val="28"/>
          <w:szCs w:val="28"/>
        </w:rPr>
        <w:t>7.3 提升抗联遗址遗迹管理水平</w:t>
      </w:r>
      <w:bookmarkEnd w:id="28"/>
    </w:p>
    <w:p w14:paraId="1CC17779">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完善管理机构与队伍建设，完善抗联遗址遗迹法律保障体系</w:t>
      </w:r>
      <w:r>
        <w:rPr>
          <w:rFonts w:ascii="微软雅黑" w:hAnsi="微软雅黑" w:eastAsia="微软雅黑"/>
          <w:sz w:val="24"/>
        </w:rPr>
        <w:t>。</w:t>
      </w:r>
      <w:r>
        <w:rPr>
          <w:rFonts w:hint="eastAsia" w:ascii="微软雅黑" w:hAnsi="微软雅黑" w:eastAsia="微软雅黑"/>
          <w:sz w:val="24"/>
        </w:rPr>
        <w:t>成立本溪市抗联遗址遗迹文物管理委员会，统筹全市抗联文物管理工作。本溪县、桓仁县应成立管理机构的分支机构，对辖区内抗联遗址进行管理；</w:t>
      </w:r>
    </w:p>
    <w:p w14:paraId="45112B68">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以文旅局、文管所为引领，对位于市区的抗联遗址遗迹，应联合社区、街道办的管理人员及志愿者，负责抗联遗址遗迹日常管理；对位于自然保护区、风景区的抗联文物，延续现有管理办法，应联合护林员、工作人员，兼顾抗联文物的日常管理；并定期对相关人员开展文物保护及考古学培训，举办讲座、开展课程，同时制定完善的应急预案。</w:t>
      </w:r>
    </w:p>
    <w:p w14:paraId="3EBB1570">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29" w:name="_Toc212564883"/>
      <w:r>
        <w:rPr>
          <w:rFonts w:hint="eastAsia" w:ascii="微软雅黑" w:hAnsi="微软雅黑" w:eastAsia="微软雅黑" w:cstheme="majorBidi"/>
          <w:b/>
          <w:bCs/>
          <w:sz w:val="28"/>
          <w:szCs w:val="28"/>
        </w:rPr>
        <w:t>7.4 建立抗联遗址遗迹综合数字管理平台</w:t>
      </w:r>
      <w:bookmarkEnd w:id="29"/>
    </w:p>
    <w:p w14:paraId="2A324FAB">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打造抗联遗址遗迹综合数字管理平台，实现一个平台叠加各部门各类管控红线与审批要求，全面辅助实施抗联遗址保护、管理、监控、审批。与自然资源、林业、农业、水利等相关部门协同，共同推进多种管控红线协同管理，为遗址遗迹下一步保护管理、景区建设、项目审批等提供技术支撑。结合抗联遗址遗迹的现场巡查，现场实时拍照、登记上传巡查信息，实时更新现场保护状态、病害变化，协助文物部门第一时间了解文物保护管理情况。</w:t>
      </w:r>
    </w:p>
    <w:p w14:paraId="67270EC3">
      <w:pPr>
        <w:keepNext/>
        <w:keepLines/>
        <w:spacing w:before="480" w:after="80" w:line="360" w:lineRule="auto"/>
        <w:ind w:firstLine="560" w:firstLineChars="200"/>
        <w:outlineLvl w:val="0"/>
        <w:rPr>
          <w:rFonts w:hint="eastAsia" w:ascii="微软雅黑" w:hAnsi="微软雅黑" w:eastAsia="微软雅黑" w:cstheme="majorBidi"/>
          <w:b/>
          <w:bCs/>
          <w:sz w:val="28"/>
          <w:szCs w:val="28"/>
        </w:rPr>
      </w:pPr>
      <w:bookmarkStart w:id="30" w:name="_Toc212564884"/>
      <w:r>
        <w:rPr>
          <w:rFonts w:hint="eastAsia" w:ascii="微软雅黑" w:hAnsi="微软雅黑" w:eastAsia="微软雅黑" w:cstheme="majorBidi"/>
          <w:b/>
          <w:bCs/>
          <w:sz w:val="28"/>
          <w:szCs w:val="28"/>
        </w:rPr>
        <w:t>第八章 提升红色研学教育品质</w:t>
      </w:r>
      <w:bookmarkEnd w:id="30"/>
    </w:p>
    <w:p w14:paraId="606E3F28">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31" w:name="_Toc212564885"/>
      <w:r>
        <w:rPr>
          <w:rFonts w:hint="eastAsia" w:ascii="微软雅黑" w:hAnsi="微软雅黑" w:eastAsia="微软雅黑" w:cstheme="majorBidi"/>
          <w:b/>
          <w:bCs/>
          <w:sz w:val="28"/>
          <w:szCs w:val="28"/>
        </w:rPr>
        <w:t>8.1 强化干部教育培训</w:t>
      </w:r>
      <w:bookmarkEnd w:id="31"/>
    </w:p>
    <w:p w14:paraId="0079C617">
      <w:pPr>
        <w:spacing w:line="360" w:lineRule="auto"/>
        <w:ind w:firstLine="480" w:firstLineChars="200"/>
        <w:rPr>
          <w:rFonts w:hint="eastAsia" w:ascii="微软雅黑" w:hAnsi="微软雅黑" w:eastAsia="微软雅黑"/>
          <w:sz w:val="24"/>
        </w:rPr>
      </w:pPr>
      <w:r>
        <w:rPr>
          <w:rFonts w:hint="eastAsia" w:ascii="微软雅黑" w:hAnsi="微软雅黑" w:eastAsia="微软雅黑"/>
          <w:sz w:val="24"/>
        </w:rPr>
        <w:t>与锦州市委党校、吉林杨靖宇干部学院等院校联动，争取在本溪重要抗联主题纪念馆、英烈故居、烈士纪念地等增设现场教学点，并以此为基础组建抗联主题培训班。</w:t>
      </w:r>
    </w:p>
    <w:p w14:paraId="5AB10AB0">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打造国歌素材地专题培训路线</w:t>
      </w:r>
      <w:r>
        <w:rPr>
          <w:rFonts w:ascii="微软雅黑" w:hAnsi="微软雅黑" w:eastAsia="微软雅黑"/>
          <w:sz w:val="24"/>
        </w:rPr>
        <w:t>：</w:t>
      </w:r>
      <w:r>
        <w:rPr>
          <w:rFonts w:hint="eastAsia" w:ascii="微软雅黑" w:hAnsi="微软雅黑" w:eastAsia="微软雅黑"/>
          <w:sz w:val="24"/>
        </w:rPr>
        <w:t>辽宁锦州、朝阳、本溪等抗联主战场是辽宁地区义勇军艰苦抗战的主战场，也是国歌《义勇军进行曲》的素材地，具有重要的纪念意义。强化与锦州市委党校合作，共同打造以国歌素材地为题的党员干部培训路线，以国歌歌词、歌曲创作灵感为故事主线，串联本溪市现有义勇军抗战相关遗址遗迹、烈士碑、烈士塔、展示场馆等，系统讲述国歌在辽宁地区的创作与诞生。</w:t>
      </w:r>
    </w:p>
    <w:p w14:paraId="54F3F3D4">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打造杨靖宇将军抗战精神培训路线</w:t>
      </w:r>
      <w:r>
        <w:rPr>
          <w:rFonts w:ascii="微软雅黑" w:hAnsi="微软雅黑" w:eastAsia="微软雅黑"/>
          <w:sz w:val="24"/>
        </w:rPr>
        <w:t>：</w:t>
      </w:r>
      <w:r>
        <w:rPr>
          <w:rFonts w:hint="eastAsia" w:ascii="微软雅黑" w:hAnsi="微软雅黑" w:eastAsia="微软雅黑"/>
          <w:sz w:val="24"/>
        </w:rPr>
        <w:t>与杨靖宇干部学院合作，联合推出以杨靖宇将军抗战精神为主题的教育培训路线，追寻革命先烈抗战足迹。</w:t>
      </w:r>
    </w:p>
    <w:p w14:paraId="2DDDF4EB">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规划建设一批现场教学点</w:t>
      </w:r>
      <w:r>
        <w:rPr>
          <w:rFonts w:ascii="微软雅黑" w:hAnsi="微软雅黑" w:eastAsia="微软雅黑"/>
          <w:sz w:val="24"/>
        </w:rPr>
        <w:t>：</w:t>
      </w:r>
      <w:r>
        <w:rPr>
          <w:rFonts w:hint="eastAsia" w:ascii="微软雅黑" w:hAnsi="微软雅黑" w:eastAsia="微软雅黑"/>
          <w:sz w:val="24"/>
        </w:rPr>
        <w:t>结合教学路线，打造一批抗联主题现场教学点，形成专题故事游线。遴选本溪最有代表性的抗联遗址遗迹，申请省级现场教学点，并争取省委组织部门挂牌。</w:t>
      </w:r>
    </w:p>
    <w:p w14:paraId="37099A3D">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完善现场教学点配套建设：</w:t>
      </w:r>
      <w:r>
        <w:rPr>
          <w:rFonts w:hint="eastAsia" w:ascii="微软雅黑" w:hAnsi="微软雅黑" w:eastAsia="微软雅黑"/>
          <w:sz w:val="24"/>
        </w:rPr>
        <w:t>加强遗址保护与环境整治：对作为现场教学点的遗址遗迹，做好本体保护，开展必要的修复和展示工作，同时整治周边环境，并配套必要的展示解说设施。加强抗联遗址故事挖掘，党史部门与考古部门协作，共同研究各个抗联遗址的史实故事、遗址信息。确保现场教学有内容可看，有故事可讲。完善现场教学设施，结合文物保护展示工程，落实现场教学与讲解所需要的设施建设，借助AR增强现实等技术，辅助现场教学。完善配套服务设施，结合现场教学点所在村庄，完善现场教学点相关配套服务设施建设。</w:t>
      </w:r>
    </w:p>
    <w:p w14:paraId="066ED8DA">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32" w:name="_Toc212564886"/>
      <w:r>
        <w:rPr>
          <w:rFonts w:hint="eastAsia" w:ascii="微软雅黑" w:hAnsi="微软雅黑" w:eastAsia="微软雅黑" w:cstheme="majorBidi"/>
          <w:b/>
          <w:bCs/>
          <w:sz w:val="28"/>
          <w:szCs w:val="28"/>
        </w:rPr>
        <w:t>8.2 构建研学教育体系</w:t>
      </w:r>
      <w:bookmarkEnd w:id="32"/>
    </w:p>
    <w:p w14:paraId="6581C9A2">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构建本桓抗联国防教育基地。</w:t>
      </w:r>
      <w:r>
        <w:rPr>
          <w:rFonts w:hint="eastAsia" w:ascii="微软雅黑" w:hAnsi="微软雅黑" w:eastAsia="微软雅黑"/>
          <w:sz w:val="24"/>
        </w:rPr>
        <w:t>集中小学爱国主义教育、红色研学教育、团建活动、拓展训练、民俗体验于一体，面向中小学生、企业团建、游客等群体。以义勇军抗战及东北抗联史实为背景，打造国防教育教学基地，聚焦抗联军事主题，打造抗联军事训练特色体验区。</w:t>
      </w:r>
    </w:p>
    <w:p w14:paraId="3F212CA9">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开设抗联爱国主义教育课程。</w:t>
      </w:r>
      <w:r>
        <w:rPr>
          <w:rFonts w:hint="eastAsia" w:ascii="微软雅黑" w:hAnsi="微软雅黑" w:eastAsia="微软雅黑"/>
          <w:sz w:val="24"/>
        </w:rPr>
        <w:t>开设面向中小学的爱国主义教育培训课程，</w:t>
      </w:r>
      <w:r>
        <w:rPr>
          <w:rFonts w:ascii="微软雅黑" w:hAnsi="微软雅黑" w:eastAsia="微软雅黑"/>
          <w:sz w:val="24"/>
        </w:rPr>
        <w:t>聚焦</w:t>
      </w:r>
      <w:r>
        <w:rPr>
          <w:rFonts w:hint="eastAsia" w:ascii="微软雅黑" w:hAnsi="微软雅黑" w:eastAsia="微软雅黑"/>
          <w:sz w:val="24"/>
        </w:rPr>
        <w:t>本溪十四年抗战史与本溪抗战英烈、本桓抗日根据地的建立与历史贡献、东北抗联在本溪地区的党建工作、东北抗日义勇军斗争史与国歌创作历程、抗联第一路军两次西征的历史意义、本溪湖“特殊工人”反日斗争运动等历史内容，通过基地与周边抗联遗址遗迹相结合的实地参观方式，阐释抗联史实、抗联精神。</w:t>
      </w:r>
    </w:p>
    <w:p w14:paraId="76BB1CF1">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打造抗联军事训练主题特色拓展训练课。</w:t>
      </w:r>
      <w:r>
        <w:rPr>
          <w:rFonts w:hint="eastAsia" w:ascii="微软雅黑" w:hAnsi="微软雅黑" w:eastAsia="微软雅黑"/>
          <w:sz w:val="24"/>
        </w:rPr>
        <w:t>围绕东北抗联核心主题，打造青少年军事拓展训练课程，重点打造军事训练课堂，学习抗联战士勇敢顽强、坚贞不屈、不畏艰险、百折不挠的奋斗精神。</w:t>
      </w:r>
    </w:p>
    <w:p w14:paraId="035249AF">
      <w:pPr>
        <w:keepNext/>
        <w:keepLines/>
        <w:spacing w:before="480" w:after="80" w:line="360" w:lineRule="auto"/>
        <w:ind w:firstLine="560" w:firstLineChars="200"/>
        <w:outlineLvl w:val="0"/>
        <w:rPr>
          <w:rFonts w:hint="eastAsia" w:ascii="微软雅黑" w:hAnsi="微软雅黑" w:eastAsia="微软雅黑" w:cstheme="majorBidi"/>
          <w:b/>
          <w:bCs/>
          <w:sz w:val="28"/>
          <w:szCs w:val="28"/>
        </w:rPr>
      </w:pPr>
      <w:bookmarkStart w:id="33" w:name="_Toc212564887"/>
      <w:r>
        <w:rPr>
          <w:rFonts w:hint="eastAsia" w:ascii="微软雅黑" w:hAnsi="微软雅黑" w:eastAsia="微软雅黑" w:cstheme="majorBidi"/>
          <w:b/>
          <w:bCs/>
          <w:sz w:val="28"/>
          <w:szCs w:val="28"/>
        </w:rPr>
        <w:t>第九章  塑造核心品牌与产品体系</w:t>
      </w:r>
      <w:bookmarkEnd w:id="33"/>
    </w:p>
    <w:p w14:paraId="06E16311">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34" w:name="_Toc212564888"/>
      <w:r>
        <w:rPr>
          <w:rFonts w:hint="eastAsia" w:ascii="微软雅黑" w:hAnsi="微软雅黑" w:eastAsia="微软雅黑" w:cstheme="majorBidi"/>
          <w:b/>
          <w:bCs/>
          <w:sz w:val="28"/>
          <w:szCs w:val="28"/>
        </w:rPr>
        <w:t>9.1 塑造红色文旅品牌</w:t>
      </w:r>
      <w:bookmarkEnd w:id="34"/>
    </w:p>
    <w:p w14:paraId="0FA24844">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打造“红绿本溪·旅居山城”的文旅</w:t>
      </w:r>
      <w:r>
        <w:rPr>
          <w:rFonts w:hint="eastAsia" w:ascii="微软雅黑" w:hAnsi="微软雅黑" w:eastAsia="微软雅黑"/>
          <w:sz w:val="24"/>
        </w:rPr>
        <w:t>品牌</w:t>
      </w:r>
      <w:r>
        <w:rPr>
          <w:rFonts w:ascii="微软雅黑" w:hAnsi="微软雅黑" w:eastAsia="微软雅黑"/>
          <w:sz w:val="24"/>
        </w:rPr>
        <w:t>：</w:t>
      </w:r>
      <w:r>
        <w:rPr>
          <w:rFonts w:hint="eastAsia" w:ascii="微软雅黑" w:hAnsi="微软雅黑" w:eastAsia="微软雅黑"/>
          <w:sz w:val="24"/>
        </w:rPr>
        <w:t xml:space="preserve">以本溪抗联遗址遗迹为核心，依托抗战历史、发挥生态资源优势，打造生态度假、康养、体育等文旅产品。打造东北抗联红色旅游高地、全国知名红色文化生态旅居目的地 </w:t>
      </w:r>
    </w:p>
    <w:p w14:paraId="5FBB0EF1">
      <w:pPr>
        <w:keepNext/>
        <w:keepLines/>
        <w:spacing w:before="160" w:after="80" w:line="360" w:lineRule="auto"/>
        <w:ind w:firstLine="560" w:firstLineChars="200"/>
        <w:outlineLvl w:val="1"/>
        <w:rPr>
          <w:rFonts w:hint="eastAsia" w:ascii="微软雅黑" w:hAnsi="微软雅黑" w:eastAsia="微软雅黑" w:cstheme="majorBidi"/>
          <w:b/>
          <w:bCs/>
          <w:sz w:val="28"/>
          <w:szCs w:val="28"/>
        </w:rPr>
      </w:pPr>
      <w:bookmarkStart w:id="35" w:name="_Toc212564889"/>
      <w:r>
        <w:rPr>
          <w:rFonts w:hint="eastAsia" w:ascii="微软雅黑" w:hAnsi="微软雅黑" w:eastAsia="微软雅黑" w:cstheme="majorBidi"/>
          <w:b/>
          <w:bCs/>
          <w:sz w:val="28"/>
          <w:szCs w:val="28"/>
        </w:rPr>
        <w:t>9.2 塑造红色文旅项目体系</w:t>
      </w:r>
      <w:bookmarkEnd w:id="35"/>
    </w:p>
    <w:p w14:paraId="263911A0">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引擎项目：</w:t>
      </w:r>
      <w:r>
        <w:rPr>
          <w:rFonts w:hint="eastAsia" w:ascii="微软雅黑" w:hAnsi="微软雅黑" w:eastAsia="微软雅黑"/>
          <w:sz w:val="24"/>
        </w:rPr>
        <w:t>龙头山抗联文化传承体验区</w:t>
      </w:r>
    </w:p>
    <w:p w14:paraId="7665EFA7">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重点项目</w:t>
      </w:r>
      <w:r>
        <w:rPr>
          <w:rFonts w:hint="eastAsia" w:ascii="微软雅黑" w:hAnsi="微软雅黑" w:eastAsia="微软雅黑"/>
          <w:sz w:val="24"/>
        </w:rPr>
        <w:t>：打造抗联红色火车专线、红绿融合森林科普基地、红色康养小镇、红色体育旅游营地，打造红色＋体育、度假、研学、康养的文旅融合代表性项目</w:t>
      </w:r>
    </w:p>
    <w:p w14:paraId="3FA7D347">
      <w:pPr>
        <w:spacing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支撑项目：</w:t>
      </w:r>
      <w:r>
        <w:rPr>
          <w:rFonts w:hint="eastAsia" w:ascii="微软雅黑" w:hAnsi="微软雅黑" w:eastAsia="微软雅黑"/>
          <w:sz w:val="24"/>
        </w:rPr>
        <w:t>借助景区、乡村文旅开发建设，做好抗联遗址遗迹的保护展示，打造一批红色文化及爱国主义教学点，包括五女山景区（五女山抗联遗址）、绿石谷景区（抗联遗址遗迹）等。</w:t>
      </w:r>
    </w:p>
    <w:p w14:paraId="24611D24">
      <w:pPr>
        <w:spacing w:after="0" w:line="360" w:lineRule="auto"/>
        <w:ind w:firstLine="480" w:firstLineChars="200"/>
        <w:rPr>
          <w:rFonts w:hint="eastAsia" w:ascii="微软雅黑" w:hAnsi="微软雅黑" w:eastAsia="微软雅黑"/>
          <w:sz w:val="24"/>
        </w:rPr>
      </w:pPr>
      <w:r>
        <w:rPr>
          <w:rFonts w:hint="eastAsia" w:ascii="微软雅黑" w:hAnsi="微软雅黑" w:eastAsia="微软雅黑"/>
          <w:b/>
          <w:bCs/>
          <w:sz w:val="24"/>
        </w:rPr>
        <w:t>文旅产品：</w:t>
      </w:r>
      <w:r>
        <w:rPr>
          <w:rFonts w:hint="eastAsia" w:ascii="微软雅黑" w:hAnsi="微软雅黑" w:eastAsia="微软雅黑"/>
          <w:sz w:val="24"/>
        </w:rPr>
        <w:t>结合活动赛事、非遗传承，打造一批特色红色文旅产品，开展各类竞技文旅赛事，开发雕刻、版画等抗联主题文旅产品。</w:t>
      </w:r>
    </w:p>
    <w:p w14:paraId="3CA7B975">
      <w:pPr>
        <w:rPr>
          <w:rFonts w:hint="eastAsia" w:ascii="微软雅黑" w:hAnsi="微软雅黑" w:eastAsia="微软雅黑"/>
          <w:b/>
          <w:bCs/>
          <w:sz w:val="40"/>
          <w:szCs w:val="44"/>
        </w:rPr>
      </w:pPr>
    </w:p>
    <w:p w14:paraId="09828D02">
      <w:pPr>
        <w:jc w:val="center"/>
        <w:rPr>
          <w:rFonts w:hint="eastAsia" w:ascii="微软雅黑" w:hAnsi="微软雅黑" w:eastAsia="微软雅黑"/>
          <w:b/>
          <w:bCs/>
          <w:sz w:val="40"/>
          <w:szCs w:val="44"/>
        </w:rPr>
      </w:pPr>
    </w:p>
    <w:p w14:paraId="70682E7C">
      <w:pPr>
        <w:jc w:val="center"/>
        <w:rPr>
          <w:rFonts w:hint="eastAsia" w:ascii="微软雅黑" w:hAnsi="微软雅黑" w:eastAsia="微软雅黑"/>
          <w:b/>
          <w:bCs/>
          <w:sz w:val="40"/>
          <w:szCs w:val="44"/>
        </w:rPr>
        <w:sectPr>
          <w:pgSz w:w="11906" w:h="16838"/>
          <w:pgMar w:top="1440" w:right="1800" w:bottom="1440" w:left="1800" w:header="851" w:footer="992" w:gutter="0"/>
          <w:cols w:space="425" w:num="1"/>
          <w:docGrid w:type="lines" w:linePitch="312" w:charSpace="0"/>
        </w:sectPr>
      </w:pPr>
    </w:p>
    <w:p w14:paraId="67CC440E">
      <w:pPr>
        <w:jc w:val="center"/>
        <w:rPr>
          <w:rFonts w:hint="eastAsia"/>
        </w:rPr>
      </w:pPr>
      <w:r>
        <w:drawing>
          <wp:inline distT="0" distB="0" distL="0" distR="0">
            <wp:extent cx="9361170" cy="6623685"/>
            <wp:effectExtent l="0" t="0" r="11430" b="5715"/>
            <wp:docPr id="16247289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28944"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9361170" cy="6623685"/>
                    </a:xfrm>
                    <a:prstGeom prst="rect">
                      <a:avLst/>
                    </a:prstGeom>
                    <a:noFill/>
                    <a:ln>
                      <a:noFill/>
                    </a:ln>
                  </pic:spPr>
                </pic:pic>
              </a:graphicData>
            </a:graphic>
          </wp:inline>
        </w:drawing>
      </w:r>
    </w:p>
    <w:p w14:paraId="225BB46A">
      <w:pPr>
        <w:jc w:val="center"/>
        <w:rPr>
          <w:rFonts w:hint="eastAsia"/>
        </w:rPr>
      </w:pPr>
      <w:r>
        <w:drawing>
          <wp:inline distT="0" distB="0" distL="0" distR="0">
            <wp:extent cx="9335770" cy="6606540"/>
            <wp:effectExtent l="0" t="0" r="17780" b="3810"/>
            <wp:docPr id="5900162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16210"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35770" cy="6606540"/>
                    </a:xfrm>
                    <a:prstGeom prst="rect">
                      <a:avLst/>
                    </a:prstGeom>
                    <a:noFill/>
                    <a:ln>
                      <a:noFill/>
                    </a:ln>
                  </pic:spPr>
                </pic:pic>
              </a:graphicData>
            </a:graphic>
          </wp:inline>
        </w:drawing>
      </w:r>
    </w:p>
    <w:p w14:paraId="33250C7E">
      <w:pPr>
        <w:jc w:val="center"/>
        <w:rPr>
          <w:rFonts w:hint="eastAsia"/>
        </w:rPr>
      </w:pPr>
      <w:r>
        <w:drawing>
          <wp:inline distT="0" distB="0" distL="0" distR="0">
            <wp:extent cx="9258935" cy="6543675"/>
            <wp:effectExtent l="0" t="0" r="18415" b="9525"/>
            <wp:docPr id="6485151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15196"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9258935" cy="6543675"/>
                    </a:xfrm>
                    <a:prstGeom prst="rect">
                      <a:avLst/>
                    </a:prstGeom>
                    <a:noFill/>
                    <a:ln>
                      <a:noFill/>
                    </a:ln>
                  </pic:spPr>
                </pic:pic>
              </a:graphicData>
            </a:graphic>
          </wp:inline>
        </w:drawing>
      </w:r>
    </w:p>
    <w:p w14:paraId="2F5D0A47">
      <w:pPr>
        <w:jc w:val="center"/>
        <w:rPr>
          <w:rFonts w:hint="eastAsia"/>
        </w:rPr>
      </w:pPr>
      <w:r>
        <w:drawing>
          <wp:inline distT="0" distB="0" distL="0" distR="0">
            <wp:extent cx="9231630" cy="6532245"/>
            <wp:effectExtent l="0" t="0" r="7620" b="1905"/>
            <wp:docPr id="8629247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24744" name="图片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231630" cy="6532245"/>
                    </a:xfrm>
                    <a:prstGeom prst="rect">
                      <a:avLst/>
                    </a:prstGeom>
                    <a:noFill/>
                    <a:ln>
                      <a:noFill/>
                    </a:ln>
                  </pic:spPr>
                </pic:pic>
              </a:graphicData>
            </a:graphic>
          </wp:inline>
        </w:drawing>
      </w:r>
    </w:p>
    <w:sectPr>
      <w:pgSz w:w="16838" w:h="11906" w:orient="landscape"/>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97761">
    <w:pPr>
      <w:pStyle w:val="11"/>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61BC1">
                          <w:pPr>
                            <w:pStyle w:val="11"/>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6561BC1">
                    <w:pPr>
                      <w:pStyle w:val="11"/>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8FD"/>
    <w:rsid w:val="000648FD"/>
    <w:rsid w:val="001D72B1"/>
    <w:rsid w:val="00295759"/>
    <w:rsid w:val="002B39CD"/>
    <w:rsid w:val="003E2551"/>
    <w:rsid w:val="004C4AC5"/>
    <w:rsid w:val="005D1E5A"/>
    <w:rsid w:val="005F76AE"/>
    <w:rsid w:val="0075183D"/>
    <w:rsid w:val="00761472"/>
    <w:rsid w:val="007A3723"/>
    <w:rsid w:val="007A44F8"/>
    <w:rsid w:val="009D57AE"/>
    <w:rsid w:val="00A5252F"/>
    <w:rsid w:val="00DE05C3"/>
    <w:rsid w:val="00E90C56"/>
    <w:rsid w:val="00EB159B"/>
    <w:rsid w:val="00EC65F7"/>
    <w:rsid w:val="00FA7543"/>
    <w:rsid w:val="00FB1416"/>
    <w:rsid w:val="09644743"/>
    <w:rsid w:val="10F02B7C"/>
    <w:rsid w:val="11237AA3"/>
    <w:rsid w:val="1297290C"/>
    <w:rsid w:val="187E504F"/>
    <w:rsid w:val="227746CA"/>
    <w:rsid w:val="34A47EB8"/>
    <w:rsid w:val="34EB5C5E"/>
    <w:rsid w:val="3A777323"/>
    <w:rsid w:val="3C51389E"/>
    <w:rsid w:val="3F59F2C5"/>
    <w:rsid w:val="41777332"/>
    <w:rsid w:val="4334648D"/>
    <w:rsid w:val="45F70641"/>
    <w:rsid w:val="4FD0663E"/>
    <w:rsid w:val="619865D3"/>
    <w:rsid w:val="67AB057A"/>
    <w:rsid w:val="6F041FE4"/>
    <w:rsid w:val="725417AE"/>
    <w:rsid w:val="7EEE2550"/>
    <w:rsid w:val="7FF81B5F"/>
    <w:rsid w:val="BDE20B0F"/>
    <w:rsid w:val="F8F7E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3"/>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7"/>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8"/>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1"/>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40"/>
    <w:unhideWhenUsed/>
    <w:qFormat/>
    <w:uiPriority w:val="99"/>
    <w:pPr>
      <w:tabs>
        <w:tab w:val="center" w:pos="4153"/>
        <w:tab w:val="right" w:pos="8306"/>
      </w:tabs>
      <w:snapToGrid w:val="0"/>
      <w:spacing w:line="240" w:lineRule="auto"/>
      <w:jc w:val="center"/>
    </w:pPr>
    <w:rPr>
      <w:sz w:val="18"/>
      <w:szCs w:val="18"/>
    </w:rPr>
  </w:style>
  <w:style w:type="paragraph" w:styleId="13">
    <w:name w:val="toc 1"/>
    <w:basedOn w:val="1"/>
    <w:next w:val="1"/>
    <w:unhideWhenUsed/>
    <w:qFormat/>
    <w:uiPriority w:val="39"/>
    <w:pPr>
      <w:spacing w:after="0" w:line="360" w:lineRule="auto"/>
      <w:ind w:firstLine="200" w:firstLineChars="200"/>
    </w:pPr>
    <w:rPr>
      <w:rFonts w:eastAsia="宋体"/>
      <w:sz w:val="24"/>
    </w:rPr>
  </w:style>
  <w:style w:type="paragraph" w:styleId="14">
    <w:name w:val="Subtitle"/>
    <w:basedOn w:val="1"/>
    <w:next w:val="1"/>
    <w:link w:val="32"/>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oc 2"/>
    <w:basedOn w:val="1"/>
    <w:next w:val="1"/>
    <w:unhideWhenUsed/>
    <w:qFormat/>
    <w:uiPriority w:val="39"/>
    <w:pPr>
      <w:spacing w:after="0" w:line="360" w:lineRule="auto"/>
      <w:ind w:left="420" w:leftChars="200" w:firstLine="200" w:firstLineChars="200"/>
    </w:pPr>
    <w:rPr>
      <w:rFonts w:eastAsia="宋体"/>
      <w:sz w:val="24"/>
    </w:rPr>
  </w:style>
  <w:style w:type="paragraph" w:styleId="16">
    <w:name w:val="Normal (Web)"/>
    <w:basedOn w:val="1"/>
    <w:semiHidden/>
    <w:unhideWhenUsed/>
    <w:qFormat/>
    <w:uiPriority w:val="99"/>
    <w:pPr>
      <w:widowControl/>
      <w:spacing w:before="100" w:beforeAutospacing="1" w:after="100" w:afterAutospacing="1" w:line="240" w:lineRule="auto"/>
      <w:ind w:firstLine="200" w:firstLineChars="200"/>
    </w:pPr>
    <w:rPr>
      <w:rFonts w:ascii="宋体" w:hAnsi="宋体" w:eastAsia="宋体" w:cs="宋体"/>
      <w:kern w:val="0"/>
      <w:sz w:val="24"/>
      <w14:ligatures w14:val="none"/>
    </w:rPr>
  </w:style>
  <w:style w:type="paragraph" w:styleId="17">
    <w:name w:val="Title"/>
    <w:basedOn w:val="1"/>
    <w:next w:val="1"/>
    <w:link w:val="31"/>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customStyle="1" w:styleId="22">
    <w:name w:val="标题 1 字符"/>
    <w:basedOn w:val="20"/>
    <w:link w:val="2"/>
    <w:qFormat/>
    <w:uiPriority w:val="9"/>
    <w:rPr>
      <w:rFonts w:asciiTheme="majorHAnsi" w:hAnsiTheme="majorHAnsi" w:eastAsiaTheme="majorEastAsia" w:cstheme="majorBidi"/>
      <w:color w:val="2F5597" w:themeColor="accent1" w:themeShade="BF"/>
      <w:sz w:val="48"/>
      <w:szCs w:val="48"/>
    </w:rPr>
  </w:style>
  <w:style w:type="character" w:customStyle="1" w:styleId="23">
    <w:name w:val="标题 2 字符"/>
    <w:basedOn w:val="20"/>
    <w:link w:val="3"/>
    <w:qFormat/>
    <w:uiPriority w:val="9"/>
    <w:rPr>
      <w:rFonts w:asciiTheme="majorHAnsi" w:hAnsiTheme="majorHAnsi" w:eastAsiaTheme="majorEastAsia" w:cstheme="majorBidi"/>
      <w:color w:val="2F5597" w:themeColor="accent1" w:themeShade="BF"/>
      <w:sz w:val="40"/>
      <w:szCs w:val="40"/>
    </w:rPr>
  </w:style>
  <w:style w:type="character" w:customStyle="1" w:styleId="24">
    <w:name w:val="标题 3 字符"/>
    <w:basedOn w:val="20"/>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5">
    <w:name w:val="标题 4 字符"/>
    <w:basedOn w:val="20"/>
    <w:link w:val="5"/>
    <w:semiHidden/>
    <w:qFormat/>
    <w:uiPriority w:val="9"/>
    <w:rPr>
      <w:rFonts w:cstheme="majorBidi"/>
      <w:color w:val="2F5597" w:themeColor="accent1" w:themeShade="BF"/>
      <w:sz w:val="28"/>
      <w:szCs w:val="28"/>
    </w:rPr>
  </w:style>
  <w:style w:type="character" w:customStyle="1" w:styleId="26">
    <w:name w:val="标题 5 字符"/>
    <w:basedOn w:val="20"/>
    <w:link w:val="6"/>
    <w:semiHidden/>
    <w:qFormat/>
    <w:uiPriority w:val="9"/>
    <w:rPr>
      <w:rFonts w:cstheme="majorBidi"/>
      <w:color w:val="2F5597" w:themeColor="accent1" w:themeShade="BF"/>
      <w:sz w:val="24"/>
    </w:rPr>
  </w:style>
  <w:style w:type="character" w:customStyle="1" w:styleId="27">
    <w:name w:val="标题 6 字符"/>
    <w:basedOn w:val="20"/>
    <w:link w:val="7"/>
    <w:semiHidden/>
    <w:qFormat/>
    <w:uiPriority w:val="9"/>
    <w:rPr>
      <w:rFonts w:cstheme="majorBidi"/>
      <w:b/>
      <w:bCs/>
      <w:color w:val="2F5597" w:themeColor="accent1" w:themeShade="BF"/>
    </w:rPr>
  </w:style>
  <w:style w:type="character" w:customStyle="1" w:styleId="28">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20"/>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20"/>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20"/>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明显引用 字符"/>
    <w:basedOn w:val="20"/>
    <w:link w:val="37"/>
    <w:qFormat/>
    <w:uiPriority w:val="30"/>
    <w:rPr>
      <w:i/>
      <w:iCs/>
      <w:color w:val="2F5597" w:themeColor="accent1" w:themeShade="BF"/>
    </w:rPr>
  </w:style>
  <w:style w:type="character" w:customStyle="1" w:styleId="39">
    <w:name w:val="明显参考1"/>
    <w:basedOn w:val="20"/>
    <w:qFormat/>
    <w:uiPriority w:val="32"/>
    <w:rPr>
      <w:b/>
      <w:bCs/>
      <w:smallCaps/>
      <w:color w:val="2F5597" w:themeColor="accent1" w:themeShade="BF"/>
      <w:spacing w:val="5"/>
    </w:rPr>
  </w:style>
  <w:style w:type="character" w:customStyle="1" w:styleId="40">
    <w:name w:val="页眉 字符"/>
    <w:basedOn w:val="20"/>
    <w:link w:val="12"/>
    <w:qFormat/>
    <w:uiPriority w:val="99"/>
    <w:rPr>
      <w:sz w:val="18"/>
      <w:szCs w:val="18"/>
    </w:rPr>
  </w:style>
  <w:style w:type="character" w:customStyle="1" w:styleId="41">
    <w:name w:val="页脚 字符"/>
    <w:basedOn w:val="20"/>
    <w:link w:val="11"/>
    <w:qFormat/>
    <w:uiPriority w:val="99"/>
    <w:rPr>
      <w:sz w:val="18"/>
      <w:szCs w:val="18"/>
    </w:rPr>
  </w:style>
  <w:style w:type="paragraph" w:customStyle="1" w:styleId="42">
    <w:name w:val="TOC 标题1"/>
    <w:basedOn w:val="2"/>
    <w:next w:val="1"/>
    <w:unhideWhenUsed/>
    <w:qFormat/>
    <w:uiPriority w:val="39"/>
    <w:pPr>
      <w:widowControl/>
      <w:spacing w:before="240" w:after="0" w:line="259" w:lineRule="auto"/>
      <w:outlineLvl w:val="9"/>
    </w:pPr>
    <w:rPr>
      <w:kern w:val="0"/>
      <w:sz w:val="32"/>
      <w:szCs w:val="32"/>
      <w14:ligatures w14: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12436</Words>
  <Characters>12663</Characters>
  <Lines>405</Lines>
  <Paragraphs>278</Paragraphs>
  <TotalTime>10</TotalTime>
  <ScaleCrop>false</ScaleCrop>
  <LinksUpToDate>false</LinksUpToDate>
  <CharactersWithSpaces>12792</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2025-10-31T07:08:00Z</dcterms:created>
  <dc:creator>曽嵘长豪</dc:creator>
  <cp:lastModifiedBy>y</cp:lastModifiedBy>
  <dcterms:modified xsi:type="dcterms:W3CDTF">2025-10-31T09:57:45Z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eyJoZGlkIjoiYzljMzRlZDgzMzlkYjg0ZGViOTQwYjNjYzY4MzljNDAifQ==</vt:lpwstr>
  </property>
  <property fmtid="{D5CDD505-2E9C-101B-9397-08002B2CF9AE}" pid="3" name="KSOProductBuildVer">
    <vt:lpwstr>2052-12.1.0.22089</vt:lpwstr>
  </property>
  <property fmtid="{D5CDD505-2E9C-101B-9397-08002B2CF9AE}" pid="4" name="ICV">
    <vt:lpwstr>8BFDC297B9F5458BBC74C3B92483C04E_13</vt:lpwstr>
  </property>
</Properties>
</file>