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7DC66E5">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本溪市文体旅深度融合高质量发展</w:t>
      </w:r>
    </w:p>
    <w:p w14:paraId="2D570EEF">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三年行动方案（2025-2027年）</w:t>
      </w:r>
    </w:p>
    <w:p w14:paraId="04C31DCE">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center"/>
        <w:textAlignment w:val="auto"/>
        <w:rPr>
          <w:rFonts w:hint="eastAsia" w:ascii="楷体_GB2312" w:hAnsi="楷体_GB2312" w:eastAsia="楷体_GB2312" w:cs="楷体_GB2312"/>
          <w:sz w:val="32"/>
          <w:szCs w:val="32"/>
          <w:lang w:eastAsia="zh-CN"/>
        </w:rPr>
      </w:pPr>
      <w:r>
        <w:rPr>
          <w:rFonts w:hint="eastAsia" w:ascii="楷体_GB2312" w:hAnsi="楷体_GB2312" w:eastAsia="楷体_GB2312" w:cs="楷体_GB2312"/>
          <w:sz w:val="32"/>
          <w:szCs w:val="32"/>
          <w:lang w:eastAsia="zh-CN"/>
        </w:rPr>
        <w:t>（征求意见稿）</w:t>
      </w:r>
    </w:p>
    <w:p w14:paraId="001F6CB4">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center"/>
        <w:textAlignment w:val="auto"/>
        <w:rPr>
          <w:rFonts w:hint="eastAsia" w:ascii="楷体_GB2312" w:hAnsi="楷体_GB2312" w:eastAsia="楷体_GB2312" w:cs="楷体_GB2312"/>
          <w:sz w:val="32"/>
          <w:szCs w:val="32"/>
          <w:lang w:eastAsia="zh-CN"/>
        </w:rPr>
      </w:pPr>
    </w:p>
    <w:p w14:paraId="552EA22A">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为贯彻落实省委打造“高品质文体旅融合发展示范地”目标任务，实施文体旅深度融合高质量发展三年行动，加快推动文化、体育、旅游产业高质量发展，全面释放文体旅产业对经济的拉动作用，结合我市实际，制定本方案。</w:t>
      </w:r>
    </w:p>
    <w:p w14:paraId="340E29DD">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一、总体要求</w:t>
      </w:r>
    </w:p>
    <w:p w14:paraId="07F0AA99">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（一）指导思想。以习近平新时代中国特色社会主义思想为指导，全面贯彻习近平文化思想、习近平总书记在辽宁、本溪考察时的重要讲话和重要指示精神，认真落实党的二十</w:t>
      </w:r>
      <w:r>
        <w:rPr>
          <w:rFonts w:hint="eastAsia" w:ascii="仿宋_GB2312" w:hAnsi="仿宋_GB2312" w:eastAsia="仿宋_GB2312" w:cs="仿宋_GB2312"/>
          <w:sz w:val="32"/>
          <w:szCs w:val="32"/>
          <w:lang w:val="en-US" w:eastAsia="zh-CN"/>
        </w:rPr>
        <w:t>大和二十</w:t>
      </w:r>
      <w:r>
        <w:rPr>
          <w:rFonts w:hint="eastAsia" w:ascii="仿宋_GB2312" w:hAnsi="仿宋_GB2312" w:eastAsia="仿宋_GB2312" w:cs="仿宋_GB2312"/>
          <w:sz w:val="32"/>
          <w:szCs w:val="32"/>
        </w:rPr>
        <w:t>届</w:t>
      </w:r>
      <w:r>
        <w:rPr>
          <w:rFonts w:hint="eastAsia" w:ascii="仿宋_GB2312" w:hAnsi="仿宋_GB2312" w:eastAsia="仿宋_GB2312" w:cs="仿宋_GB2312"/>
          <w:sz w:val="32"/>
          <w:szCs w:val="32"/>
          <w:lang w:val="en-US" w:eastAsia="zh-CN"/>
        </w:rPr>
        <w:t>二中、</w:t>
      </w:r>
      <w:r>
        <w:rPr>
          <w:rFonts w:hint="eastAsia" w:ascii="仿宋_GB2312" w:hAnsi="仿宋_GB2312" w:eastAsia="仿宋_GB2312" w:cs="仿宋_GB2312"/>
          <w:sz w:val="32"/>
          <w:szCs w:val="32"/>
        </w:rPr>
        <w:t>三中全会</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全国旅游发展大会和省文体旅融合发展大会精神，坚持以</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文化强市</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战略为统领，深入挖掘红色文化、历史文化、</w:t>
      </w:r>
      <w:r>
        <w:rPr>
          <w:rFonts w:hint="eastAsia" w:ascii="仿宋_GB2312" w:hAnsi="仿宋_GB2312" w:eastAsia="仿宋_GB2312" w:cs="仿宋_GB2312"/>
          <w:sz w:val="32"/>
          <w:szCs w:val="32"/>
          <w:lang w:eastAsia="zh-CN"/>
        </w:rPr>
        <w:t>地质文化、</w:t>
      </w:r>
      <w:r>
        <w:rPr>
          <w:rFonts w:hint="eastAsia" w:ascii="仿宋_GB2312" w:hAnsi="仿宋_GB2312" w:eastAsia="仿宋_GB2312" w:cs="仿宋_GB2312"/>
          <w:sz w:val="32"/>
          <w:szCs w:val="32"/>
        </w:rPr>
        <w:t>民族文化</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工业文化、</w:t>
      </w:r>
      <w:r>
        <w:rPr>
          <w:rFonts w:hint="eastAsia" w:ascii="仿宋_GB2312" w:hAnsi="仿宋_GB2312" w:eastAsia="仿宋_GB2312" w:cs="仿宋_GB2312"/>
          <w:sz w:val="32"/>
          <w:szCs w:val="32"/>
          <w:lang w:eastAsia="zh-CN"/>
        </w:rPr>
        <w:t>中医文化等特色</w:t>
      </w:r>
      <w:r>
        <w:rPr>
          <w:rFonts w:hint="eastAsia" w:ascii="仿宋_GB2312" w:hAnsi="仿宋_GB2312" w:eastAsia="仿宋_GB2312" w:cs="仿宋_GB2312"/>
          <w:sz w:val="32"/>
          <w:szCs w:val="32"/>
          <w:lang w:val="en-US" w:eastAsia="zh-CN"/>
        </w:rPr>
        <w:t>地域文化内涵，构建“以文铸魂、以文化人、以文润城、以文惠民、以文兴业”五位一体发展格局</w:t>
      </w:r>
      <w:r>
        <w:rPr>
          <w:rFonts w:hint="eastAsia" w:ascii="仿宋_GB2312" w:hAnsi="仿宋_GB2312" w:eastAsia="仿宋_GB2312" w:cs="仿宋_GB2312"/>
          <w:sz w:val="32"/>
          <w:szCs w:val="32"/>
        </w:rPr>
        <w:t>，推动文化、体育、旅游在更广范围、更深层次、更高水平融合发展</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坚持创新驱动、科技赋能，丰富</w:t>
      </w:r>
      <w:r>
        <w:rPr>
          <w:rFonts w:hint="eastAsia" w:ascii="仿宋_GB2312" w:hAnsi="仿宋_GB2312" w:eastAsia="仿宋_GB2312" w:cs="仿宋_GB2312"/>
          <w:sz w:val="32"/>
          <w:szCs w:val="32"/>
          <w:lang w:eastAsia="zh-CN"/>
        </w:rPr>
        <w:t>文体旅</w:t>
      </w:r>
      <w:r>
        <w:rPr>
          <w:rFonts w:hint="eastAsia" w:ascii="仿宋_GB2312" w:hAnsi="仿宋_GB2312" w:eastAsia="仿宋_GB2312" w:cs="仿宋_GB2312"/>
          <w:sz w:val="32"/>
          <w:szCs w:val="32"/>
        </w:rPr>
        <w:t>新产品、新业态、新场景</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全面形成文</w:t>
      </w:r>
      <w:r>
        <w:rPr>
          <w:rFonts w:hint="eastAsia" w:ascii="仿宋_GB2312" w:hAnsi="仿宋_GB2312" w:eastAsia="仿宋_GB2312" w:cs="仿宋_GB2312"/>
          <w:sz w:val="32"/>
          <w:szCs w:val="32"/>
          <w:lang w:eastAsia="zh-CN"/>
        </w:rPr>
        <w:t>体</w:t>
      </w:r>
      <w:r>
        <w:rPr>
          <w:rFonts w:hint="eastAsia" w:ascii="仿宋_GB2312" w:hAnsi="仿宋_GB2312" w:eastAsia="仿宋_GB2312" w:cs="仿宋_GB2312"/>
          <w:sz w:val="32"/>
          <w:szCs w:val="32"/>
        </w:rPr>
        <w:t>旅深度融合、内外市场繁荣、多业互促联动、区域协调发展的</w:t>
      </w:r>
      <w:r>
        <w:rPr>
          <w:rFonts w:hint="eastAsia" w:ascii="仿宋_GB2312" w:hAnsi="仿宋_GB2312" w:eastAsia="仿宋_GB2312" w:cs="仿宋_GB2312"/>
          <w:sz w:val="32"/>
          <w:szCs w:val="32"/>
          <w:lang w:val="en-US" w:eastAsia="zh-CN"/>
        </w:rPr>
        <w:t>现代化文体旅产业发展新局面</w:t>
      </w:r>
      <w:r>
        <w:rPr>
          <w:rFonts w:hint="eastAsia" w:ascii="仿宋_GB2312" w:hAnsi="仿宋_GB2312" w:eastAsia="仿宋_GB2312" w:cs="仿宋_GB2312"/>
          <w:sz w:val="32"/>
          <w:szCs w:val="32"/>
        </w:rPr>
        <w:t>。</w:t>
      </w:r>
    </w:p>
    <w:p w14:paraId="02B20EDE">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（二）发展目标。</w:t>
      </w:r>
      <w:r>
        <w:rPr>
          <w:rFonts w:hint="eastAsia" w:ascii="仿宋_GB2312" w:hAnsi="仿宋_GB2312" w:eastAsia="仿宋_GB2312" w:cs="仿宋_GB2312"/>
          <w:sz w:val="32"/>
          <w:szCs w:val="32"/>
          <w:lang w:val="en-US" w:eastAsia="zh-CN"/>
        </w:rPr>
        <w:t>全力推动文体旅产业深度融合高质量发展，</w:t>
      </w:r>
      <w:r>
        <w:rPr>
          <w:rFonts w:hint="eastAsia" w:ascii="仿宋_GB2312" w:hAnsi="仿宋_GB2312" w:eastAsia="仿宋_GB2312" w:cs="仿宋_GB2312"/>
          <w:sz w:val="32"/>
          <w:szCs w:val="32"/>
        </w:rPr>
        <w:t>到202</w:t>
      </w: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我市“文化强市”建设取得突出成效，地域文化魅力全面彰显；文体旅实现全方位融合，产业创新驱动作用逐步显现；文体旅行业要素短板逐渐补齐、产业发展环境日趋优良；专业人才储备充足、政策配套趋于完善；公共服务能力全面强化，城市美誉度大幅提升；文体旅行业各项经济效益和社会效益指标进入全省前列，市民和游客获得感明显提高，城市文化自信显著增强，文体旅产业促进文化繁荣、推动全民健康、拉动区域经济作用全面释放。</w:t>
      </w:r>
    </w:p>
    <w:p w14:paraId="0BA24BF9">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lang w:eastAsia="zh-CN"/>
        </w:rPr>
        <w:t>二、</w:t>
      </w:r>
      <w:r>
        <w:rPr>
          <w:rFonts w:hint="eastAsia" w:ascii="黑体" w:hAnsi="黑体" w:eastAsia="黑体" w:cs="黑体"/>
          <w:sz w:val="32"/>
          <w:szCs w:val="32"/>
        </w:rPr>
        <w:t>主要任务</w:t>
      </w:r>
    </w:p>
    <w:p w14:paraId="73C85D39">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（一）发挥文化引领作用，梳理文体旅产业融合新定位</w:t>
      </w:r>
    </w:p>
    <w:p w14:paraId="0CA8D41C">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1.以文铸魂夯实发展根基。</w:t>
      </w:r>
      <w:r>
        <w:rPr>
          <w:rFonts w:hint="eastAsia" w:ascii="仿宋_GB2312" w:hAnsi="仿宋_GB2312" w:eastAsia="仿宋_GB2312" w:cs="仿宋_GB2312"/>
          <w:sz w:val="32"/>
          <w:szCs w:val="32"/>
          <w:lang w:val="en-US" w:eastAsia="zh-CN"/>
        </w:rPr>
        <w:t>深度挖掘本溪文化底蕴，开展城市历史文化溯源，系统梳理城市发展脉络。以社会主义核心价值观为引领，在推动产业融合的全过程深入学习、宣传、践行抗联精神、抗美援朝精神、老区精神、雷锋精神，激发广大文体旅行业从业者的文化自豪感，使文化成为凝聚社会共识、激发奋进力量的精神旗帜。</w:t>
      </w:r>
    </w:p>
    <w:p w14:paraId="2055FCD9">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2.以文化人凝聚发展力量。</w:t>
      </w:r>
      <w:r>
        <w:rPr>
          <w:rFonts w:hint="eastAsia" w:ascii="仿宋_GB2312" w:hAnsi="仿宋_GB2312" w:eastAsia="仿宋_GB2312" w:cs="仿宋_GB2312"/>
          <w:sz w:val="32"/>
          <w:szCs w:val="32"/>
          <w:lang w:val="en-US" w:eastAsia="zh-CN"/>
        </w:rPr>
        <w:t>充分发挥文化教育功能，营造全民学习、终身学习的浓厚文化氛围。激发市民的创新思维和创造活力，让文化成为市民追求美好生活、实现个人价值的重要驱动力。以开展文明培育、文明实践、文明创建等形式，在文体旅行业树立认同、践行、宣传城市文化意识，形成全员参与、全员践行的城市文化核心。</w:t>
      </w:r>
    </w:p>
    <w:p w14:paraId="58F1DE3B">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3.以文润城展现城市魅力。</w:t>
      </w:r>
      <w:r>
        <w:rPr>
          <w:rFonts w:hint="eastAsia" w:ascii="仿宋_GB2312" w:hAnsi="仿宋_GB2312" w:eastAsia="仿宋_GB2312" w:cs="仿宋_GB2312"/>
          <w:sz w:val="32"/>
          <w:szCs w:val="32"/>
          <w:lang w:val="en-US" w:eastAsia="zh-CN"/>
        </w:rPr>
        <w:t>深度挖掘城乡历史文脉与地域特色，全面融入城乡规划建设。强化地域文化内涵研究，积极推进历史文化名城创建，推动庙后山古人类遗址、五女山山城、本溪湖工业遗产群等重大文化遗址开发利用，积极开发地域文化的创新表达形式，打造城市文化主题公园、艺术街区，推动文化与建筑、商业相融合。</w:t>
      </w:r>
    </w:p>
    <w:p w14:paraId="0B5F2BBA">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4.以文惠民共享发展成果。</w:t>
      </w:r>
      <w:r>
        <w:rPr>
          <w:rFonts w:hint="eastAsia" w:ascii="仿宋_GB2312" w:hAnsi="仿宋_GB2312" w:eastAsia="仿宋_GB2312" w:cs="仿宋_GB2312"/>
          <w:sz w:val="32"/>
          <w:szCs w:val="32"/>
          <w:lang w:val="en-US" w:eastAsia="zh-CN"/>
        </w:rPr>
        <w:t>深入实施文艺精品创作、文化惠民工程、文化志愿服务等活动，打造本溪国际枫叶节、民俗文化巡游等特色品牌，广泛开展群众性文化惠民活动。深化“书香本溪”“诗画本溪”“音画本溪”“美食本溪”建设，创新供给艺术展演、文化讲座等多元文化产品，推动文化资源全民共享，切实提升市民精神文化生活的获得感。</w:t>
      </w:r>
    </w:p>
    <w:p w14:paraId="12DA52C4">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5.以文兴业坚定发展方向。</w:t>
      </w:r>
      <w:r>
        <w:rPr>
          <w:rFonts w:hint="eastAsia" w:ascii="仿宋_GB2312" w:hAnsi="仿宋_GB2312" w:eastAsia="仿宋_GB2312" w:cs="仿宋_GB2312"/>
          <w:sz w:val="32"/>
          <w:szCs w:val="32"/>
          <w:lang w:val="en-US" w:eastAsia="zh-CN"/>
        </w:rPr>
        <w:t>聚焦文化产业高质量发展，以创新与数字赋能，充分发挥“山水+工业+红色+冰雪+温泉”资源优势，推动地域文化与资源相结合，以文化内涵彰显项目、产品的独特魅力。坚持围绕特色文化内涵来谋划项目、策划活动、打造产品、招徕游客，打造具有独特文化体验的线路，大力推进“商旅文体健”多业态消费融合。</w:t>
      </w:r>
    </w:p>
    <w:p w14:paraId="758370EE">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（二）突出体育带动作用，激发文体旅产业释放新活力</w:t>
      </w:r>
    </w:p>
    <w:p w14:paraId="0F64D8FE">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6.完善体育设施布局。</w:t>
      </w:r>
      <w:r>
        <w:rPr>
          <w:rFonts w:hint="eastAsia" w:ascii="仿宋_GB2312" w:hAnsi="仿宋_GB2312" w:eastAsia="仿宋_GB2312" w:cs="仿宋_GB2312"/>
          <w:sz w:val="32"/>
          <w:szCs w:val="32"/>
          <w:lang w:val="en-US" w:eastAsia="zh-CN"/>
        </w:rPr>
        <w:t>建设一批中小型体育场馆、公众健身活动中心、户外多功能球场，推动健身步道、骑行道等场地设施与文化、旅游设施场所结合。改造旧厂房、仓库、老旧商业设施等用于体育健身。鼓励社会力量在商业街区、旅游景区、度假区建设小型化、多样化的活动场馆和健身设施。</w:t>
      </w:r>
    </w:p>
    <w:p w14:paraId="4EBC0DD9">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7.打造品牌赛事活动。</w:t>
      </w:r>
      <w:r>
        <w:rPr>
          <w:rFonts w:hint="eastAsia" w:ascii="仿宋_GB2312" w:hAnsi="仿宋_GB2312" w:eastAsia="仿宋_GB2312" w:cs="仿宋_GB2312"/>
          <w:sz w:val="32"/>
          <w:szCs w:val="32"/>
          <w:lang w:val="en-US" w:eastAsia="zh-CN"/>
        </w:rPr>
        <w:t>大力引进职业联赛，打造一批有吸引力的国际性、区域性品牌赛事，积极承办各级各项目国家队比赛。丰富业余体育赛事，持续做大做强“巴图鲁越野跑”“五女山马拉松”等各类体育比赛。引导支持体育社会组织等社会力量，定期举办“雪合战”“丰收季”等民俗类群众性体育赛事活动。</w:t>
      </w:r>
    </w:p>
    <w:p w14:paraId="4844E360">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8.大力发展冰雪运动。</w:t>
      </w:r>
      <w:r>
        <w:rPr>
          <w:rFonts w:hint="eastAsia" w:ascii="仿宋_GB2312" w:hAnsi="仿宋_GB2312" w:eastAsia="仿宋_GB2312" w:cs="仿宋_GB2312"/>
          <w:sz w:val="32"/>
          <w:szCs w:val="32"/>
          <w:lang w:val="en-US" w:eastAsia="zh-CN"/>
        </w:rPr>
        <w:t>抓住第十五届全国冬季运动会在辽宁举办的有利契机，继续承办辽宁省冬泳比赛和大众滑冰比赛等体育赛事。鼓励建设高品质冰雪场馆设施，推动冰雪运动、冰雪竞技、冰雪装备全产业链发展。推动“冰雪运动+旅游”融合发展，丰富冬季旅游市场产品供给。</w:t>
      </w:r>
    </w:p>
    <w:p w14:paraId="40A16CBE">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9.创建高质量户外运动目的地。</w:t>
      </w:r>
      <w:r>
        <w:rPr>
          <w:rFonts w:hint="eastAsia" w:ascii="仿宋_GB2312" w:hAnsi="仿宋_GB2312" w:eastAsia="仿宋_GB2312" w:cs="仿宋_GB2312"/>
          <w:sz w:val="32"/>
          <w:szCs w:val="32"/>
          <w:lang w:val="en-US" w:eastAsia="zh-CN"/>
        </w:rPr>
        <w:t>依托优质特色户外运动资源，突出优势户外运动项目，深入挖掘在地户外运动文化，以本溪县和桓仁县为重点区域，合理规划空间布局和边界范围，加快户外运动场地和配套设施建设，积极申创国家级高质量户外运动目的地。</w:t>
      </w:r>
    </w:p>
    <w:p w14:paraId="0F9A4D20">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（三）强化旅游牵动作用，释放文体旅产业拉动经济新效能</w:t>
      </w:r>
    </w:p>
    <w:p w14:paraId="62A825D2">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10.全面提升旅游发展水平。</w:t>
      </w:r>
      <w:r>
        <w:rPr>
          <w:rFonts w:hint="eastAsia" w:ascii="仿宋_GB2312" w:hAnsi="仿宋_GB2312" w:eastAsia="仿宋_GB2312" w:cs="仿宋_GB2312"/>
          <w:sz w:val="32"/>
          <w:szCs w:val="32"/>
          <w:lang w:val="en-US" w:eastAsia="zh-CN"/>
        </w:rPr>
        <w:t>立足建设富有文化底蕴的世界级旅游景区和度假区，全力实施全市旅游景区转型提质行动，推动五女山景区打造世界级旅游景区。大力推进国家品牌梯队培育，推动花溪沐创建国家级旅游度假区，实施本溪水洞、关门山森林公园等一批传统观光类景区升级改造，推动旅游产业实现由观光到度假、由度假向旅居转变，逐步形成独特的生态旅游产业发展格局。</w:t>
      </w:r>
    </w:p>
    <w:p w14:paraId="76489411">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11.</w:t>
      </w:r>
      <w:r>
        <w:rPr>
          <w:rFonts w:hint="eastAsia" w:ascii="仿宋_GB2312" w:hAnsi="仿宋_GB2312" w:eastAsia="仿宋_GB2312" w:cs="仿宋_GB2312"/>
          <w:b/>
          <w:bCs/>
          <w:sz w:val="32"/>
          <w:szCs w:val="32"/>
        </w:rPr>
        <w:t>历史</w:t>
      </w:r>
      <w:r>
        <w:rPr>
          <w:rFonts w:hint="eastAsia" w:ascii="仿宋_GB2312" w:hAnsi="仿宋_GB2312" w:eastAsia="仿宋_GB2312" w:cs="仿宋_GB2312"/>
          <w:b/>
          <w:bCs/>
          <w:sz w:val="32"/>
          <w:szCs w:val="32"/>
          <w:lang w:eastAsia="zh-CN"/>
        </w:rPr>
        <w:t>文化传承创新。</w:t>
      </w:r>
      <w:r>
        <w:rPr>
          <w:rFonts w:hint="eastAsia" w:ascii="仿宋_GB2312" w:hAnsi="仿宋_GB2312" w:eastAsia="仿宋_GB2312" w:cs="仿宋_GB2312"/>
          <w:sz w:val="32"/>
          <w:szCs w:val="32"/>
        </w:rPr>
        <w:t>以五女山山城世界文化遗产为核心，整合</w:t>
      </w:r>
      <w:r>
        <w:rPr>
          <w:rFonts w:hint="eastAsia" w:ascii="仿宋_GB2312" w:hAnsi="仿宋_GB2312" w:eastAsia="仿宋_GB2312" w:cs="仿宋_GB2312"/>
          <w:sz w:val="32"/>
          <w:szCs w:val="32"/>
          <w:lang w:val="en-US" w:eastAsia="zh-CN"/>
        </w:rPr>
        <w:t>明</w:t>
      </w:r>
      <w:r>
        <w:rPr>
          <w:rFonts w:hint="eastAsia" w:ascii="仿宋_GB2312" w:hAnsi="仿宋_GB2312" w:eastAsia="仿宋_GB2312" w:cs="仿宋_GB2312"/>
          <w:sz w:val="32"/>
          <w:szCs w:val="32"/>
        </w:rPr>
        <w:t xml:space="preserve">长城等资源，实施遗址数字化保护、沉浸式剧场开发，推出主题文创及节气研学线路。加强文物、非物质文化遗产的活化利用，初步构建多层级多要素的保护传承体系，打造具有历史文化底蕴的文博品牌。  </w:t>
      </w:r>
    </w:p>
    <w:p w14:paraId="0F205681">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1</w:t>
      </w:r>
      <w:r>
        <w:rPr>
          <w:rFonts w:hint="eastAsia" w:ascii="仿宋_GB2312" w:hAnsi="仿宋_GB2312" w:eastAsia="仿宋_GB2312" w:cs="仿宋_GB2312"/>
          <w:b/>
          <w:bCs/>
          <w:sz w:val="32"/>
          <w:szCs w:val="32"/>
        </w:rPr>
        <w:t>2.红色旅游提质升级。</w:t>
      </w:r>
      <w:r>
        <w:rPr>
          <w:rFonts w:hint="eastAsia" w:ascii="仿宋_GB2312" w:hAnsi="仿宋_GB2312" w:eastAsia="仿宋_GB2312" w:cs="仿宋_GB2312"/>
          <w:sz w:val="32"/>
          <w:szCs w:val="32"/>
        </w:rPr>
        <w:t>完成对东北抗联史实陈列馆等重点红色景区的改造升级，使本溪成为东北地区极具影响力的红色文化传承与旅游目的地。开发</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重走抗联路</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VR课程、红色剧本杀等沉浸式产品，建设东北抗联精神数字展览馆，打造全国爱国主义教育示范基地。联动</w:t>
      </w:r>
      <w:r>
        <w:rPr>
          <w:rFonts w:hint="eastAsia" w:ascii="仿宋_GB2312" w:hAnsi="仿宋_GB2312" w:eastAsia="仿宋_GB2312" w:cs="仿宋_GB2312"/>
          <w:sz w:val="32"/>
          <w:szCs w:val="32"/>
          <w:lang w:eastAsia="zh-CN"/>
        </w:rPr>
        <w:t>吉林</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黑龙江</w:t>
      </w:r>
      <w:r>
        <w:rPr>
          <w:rFonts w:hint="eastAsia" w:ascii="仿宋_GB2312" w:hAnsi="仿宋_GB2312" w:eastAsia="仿宋_GB2312" w:cs="仿宋_GB2312"/>
          <w:sz w:val="32"/>
          <w:szCs w:val="32"/>
        </w:rPr>
        <w:t>推出跨省研学线路。</w:t>
      </w:r>
    </w:p>
    <w:p w14:paraId="6DC5ACBE">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1</w:t>
      </w:r>
      <w:r>
        <w:rPr>
          <w:rFonts w:hint="eastAsia" w:ascii="仿宋_GB2312" w:hAnsi="仿宋_GB2312" w:eastAsia="仿宋_GB2312" w:cs="仿宋_GB2312"/>
          <w:b/>
          <w:bCs/>
          <w:sz w:val="32"/>
          <w:szCs w:val="32"/>
        </w:rPr>
        <w:t>3.工业旅游蓬勃兴起。</w:t>
      </w:r>
      <w:r>
        <w:rPr>
          <w:rFonts w:hint="eastAsia" w:ascii="仿宋_GB2312" w:hAnsi="仿宋_GB2312" w:eastAsia="仿宋_GB2312" w:cs="仿宋_GB2312"/>
          <w:sz w:val="32"/>
          <w:szCs w:val="32"/>
        </w:rPr>
        <w:t>以本溪湖工业遗产群为核心，依托丰富的工业遗存，打造集工业展览展示、影视拍摄制作、文化创意办公、生活休闲娱乐等功能于一体的工业文化旅游区，实现工业旅游与城市更新协同发展。</w:t>
      </w:r>
      <w:r>
        <w:rPr>
          <w:rFonts w:hint="eastAsia" w:ascii="仿宋_GB2312" w:hAnsi="仿宋_GB2312" w:eastAsia="仿宋_GB2312" w:cs="仿宋_GB2312"/>
          <w:sz w:val="32"/>
          <w:szCs w:val="32"/>
          <w:lang w:eastAsia="zh-CN"/>
        </w:rPr>
        <w:t>积极</w:t>
      </w:r>
      <w:r>
        <w:rPr>
          <w:rFonts w:hint="eastAsia" w:ascii="仿宋_GB2312" w:hAnsi="仿宋_GB2312" w:eastAsia="仿宋_GB2312" w:cs="仿宋_GB2312"/>
          <w:sz w:val="32"/>
          <w:szCs w:val="32"/>
        </w:rPr>
        <w:t>创建国家级工业旅游示范基地，培育工业遗产主题酒店、文创园区等新业态，形成老工业城市转型发展典范。</w:t>
      </w:r>
    </w:p>
    <w:p w14:paraId="56C675A5">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1</w:t>
      </w:r>
      <w:r>
        <w:rPr>
          <w:rFonts w:hint="eastAsia" w:ascii="仿宋_GB2312" w:hAnsi="仿宋_GB2312" w:eastAsia="仿宋_GB2312" w:cs="仿宋_GB2312"/>
          <w:b/>
          <w:bCs/>
          <w:sz w:val="32"/>
          <w:szCs w:val="32"/>
        </w:rPr>
        <w:t>4.民族文化活态</w:t>
      </w:r>
      <w:r>
        <w:rPr>
          <w:rFonts w:hint="eastAsia" w:ascii="仿宋_GB2312" w:hAnsi="仿宋_GB2312" w:eastAsia="仿宋_GB2312" w:cs="仿宋_GB2312"/>
          <w:b/>
          <w:bCs/>
          <w:sz w:val="32"/>
          <w:szCs w:val="32"/>
          <w:lang w:eastAsia="zh-CN"/>
        </w:rPr>
        <w:t>传承。</w:t>
      </w:r>
      <w:r>
        <w:rPr>
          <w:rFonts w:hint="eastAsia" w:ascii="仿宋_GB2312" w:hAnsi="仿宋_GB2312" w:eastAsia="仿宋_GB2312" w:cs="仿宋_GB2312"/>
          <w:sz w:val="32"/>
          <w:szCs w:val="32"/>
        </w:rPr>
        <w:t>依托本溪满族、朝鲜族等多元民族文化资源，</w:t>
      </w:r>
      <w:r>
        <w:rPr>
          <w:rFonts w:hint="eastAsia" w:ascii="仿宋_GB2312" w:hAnsi="仿宋_GB2312" w:eastAsia="仿宋_GB2312" w:cs="仿宋_GB2312"/>
          <w:sz w:val="32"/>
          <w:szCs w:val="32"/>
          <w:lang w:eastAsia="zh-CN"/>
        </w:rPr>
        <w:t>建设</w:t>
      </w:r>
      <w:r>
        <w:rPr>
          <w:rFonts w:hint="eastAsia" w:ascii="仿宋_GB2312" w:hAnsi="仿宋_GB2312" w:eastAsia="仿宋_GB2312" w:cs="仿宋_GB2312"/>
          <w:sz w:val="32"/>
          <w:szCs w:val="32"/>
        </w:rPr>
        <w:t>满族文化</w:t>
      </w:r>
      <w:r>
        <w:rPr>
          <w:rFonts w:hint="eastAsia" w:ascii="仿宋_GB2312" w:hAnsi="仿宋_GB2312" w:eastAsia="仿宋_GB2312" w:cs="仿宋_GB2312"/>
          <w:sz w:val="32"/>
          <w:szCs w:val="32"/>
          <w:lang w:eastAsia="zh-CN"/>
        </w:rPr>
        <w:t>体验中心</w:t>
      </w:r>
      <w:r>
        <w:rPr>
          <w:rFonts w:hint="eastAsia" w:ascii="仿宋_GB2312" w:hAnsi="仿宋_GB2312" w:eastAsia="仿宋_GB2312" w:cs="仿宋_GB2312"/>
          <w:sz w:val="32"/>
          <w:szCs w:val="32"/>
        </w:rPr>
        <w:t>、朝鲜族乞粒舞非遗传承基地，打造</w:t>
      </w:r>
      <w:r>
        <w:rPr>
          <w:rFonts w:hint="eastAsia" w:ascii="仿宋_GB2312" w:hAnsi="仿宋_GB2312" w:eastAsia="仿宋_GB2312" w:cs="仿宋_GB2312"/>
          <w:sz w:val="32"/>
          <w:szCs w:val="32"/>
          <w:lang w:eastAsia="zh-CN"/>
        </w:rPr>
        <w:t>“羊汤文化节”</w:t>
      </w:r>
      <w:r>
        <w:rPr>
          <w:rFonts w:hint="eastAsia" w:ascii="仿宋_GB2312" w:hAnsi="仿宋_GB2312" w:eastAsia="仿宋_GB2312" w:cs="仿宋_GB2312"/>
          <w:sz w:val="32"/>
          <w:szCs w:val="32"/>
        </w:rPr>
        <w:t>时尚IP与</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浑江</w:t>
      </w:r>
      <w:r>
        <w:rPr>
          <w:rFonts w:hint="eastAsia" w:ascii="仿宋_GB2312" w:hAnsi="仿宋_GB2312" w:eastAsia="仿宋_GB2312" w:cs="仿宋_GB2312"/>
          <w:sz w:val="32"/>
          <w:szCs w:val="32"/>
        </w:rPr>
        <w:t>之夜</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文化夜市。开发满族实景演出、</w:t>
      </w:r>
      <w:r>
        <w:rPr>
          <w:rFonts w:hint="eastAsia" w:ascii="仿宋_GB2312" w:hAnsi="仿宋_GB2312" w:eastAsia="仿宋_GB2312" w:cs="仿宋_GB2312"/>
          <w:sz w:val="32"/>
          <w:szCs w:val="32"/>
          <w:lang w:eastAsia="zh-CN"/>
        </w:rPr>
        <w:t>朝鲜族民俗风情街</w:t>
      </w:r>
      <w:r>
        <w:rPr>
          <w:rFonts w:hint="eastAsia" w:ascii="仿宋_GB2312" w:hAnsi="仿宋_GB2312" w:eastAsia="仿宋_GB2312" w:cs="仿宋_GB2312"/>
          <w:sz w:val="32"/>
          <w:szCs w:val="32"/>
        </w:rPr>
        <w:t>等特色项目。</w:t>
      </w:r>
    </w:p>
    <w:p w14:paraId="77666909">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（四）坚持实施创新驱动，打造文体旅融合消费新场景</w:t>
      </w:r>
    </w:p>
    <w:p w14:paraId="5811A42D">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15.实施“本溪有礼”文创产品提升行动。</w:t>
      </w:r>
      <w:r>
        <w:rPr>
          <w:rFonts w:hint="eastAsia" w:ascii="仿宋_GB2312" w:hAnsi="仿宋_GB2312" w:eastAsia="仿宋_GB2312" w:cs="仿宋_GB2312"/>
          <w:sz w:val="32"/>
          <w:szCs w:val="32"/>
          <w:lang w:val="en-US" w:eastAsia="zh-CN"/>
        </w:rPr>
        <w:t>扶持一批具有本溪文化符号的文创产品研发项目，打响本溪文创产品和数字产品品牌。挖掘非物质文化遗产内涵和本溪老字号文化价值优势，支持文化创意街区开发建设，推动本溪文旅企业形成产品设计、制造、营销、代理服务、品牌建设的全产业链。培育具有文化体验、旅游休闲功能的文化产业园区（基地）。</w:t>
      </w:r>
    </w:p>
    <w:p w14:paraId="236CABC5">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16.培育文娱演艺精品。</w:t>
      </w:r>
      <w:r>
        <w:rPr>
          <w:rFonts w:hint="eastAsia" w:ascii="仿宋_GB2312" w:hAnsi="仿宋_GB2312" w:eastAsia="仿宋_GB2312" w:cs="仿宋_GB2312"/>
          <w:sz w:val="32"/>
          <w:szCs w:val="32"/>
          <w:lang w:val="en-US" w:eastAsia="zh-CN"/>
        </w:rPr>
        <w:t>深入挖掘本溪历史文化资源，创新编排沉浸式实景演出剧目，打造一批彰显时代精神、地域特色的舞台艺术精品。鼓励专业艺术团体与景区深度合作，推出《西征》等一批情景演艺项目。推动文化场馆、新型演艺空间发展，鼓励在商业场所改造、增设一批小剧场，提供小型音乐会、话剧、音乐剧等多样化演出服务，鼓励沉浸体验、数字艺术、线上演播等新业态发展。</w:t>
      </w:r>
    </w:p>
    <w:p w14:paraId="67B63CDE">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17.开发特色场景活动。</w:t>
      </w:r>
      <w:r>
        <w:rPr>
          <w:rFonts w:hint="eastAsia" w:ascii="仿宋_GB2312" w:hAnsi="仿宋_GB2312" w:eastAsia="仿宋_GB2312" w:cs="仿宋_GB2312"/>
          <w:sz w:val="32"/>
          <w:szCs w:val="32"/>
          <w:lang w:val="en-US" w:eastAsia="zh-CN"/>
        </w:rPr>
        <w:t>鼓励兴办特色书店、剧场、博物馆、美术馆、图书馆、文创商店，推广主题文创产品、特色非遗产品和旅游纪念品。培育国潮、动漫、音乐嘉年华品牌，加快推进AI、VR等技术在景区、文博、演艺等领域广泛应用，打造沉浸式体验空间。积极引进演唱会、音乐节等文化活动。加大高质量广播电视节目、网络视听精品项目、微短剧的扶持力度，加快电视频道高清、超高清建设。</w:t>
      </w:r>
    </w:p>
    <w:p w14:paraId="6380CAA1">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（五）深入实施机制改革，开拓文体旅融合发展新空间</w:t>
      </w:r>
    </w:p>
    <w:p w14:paraId="69EC48EF">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18.深化文旅事业单位激励机制改革。</w:t>
      </w:r>
      <w:r>
        <w:rPr>
          <w:rFonts w:hint="eastAsia" w:ascii="仿宋_GB2312" w:hAnsi="仿宋_GB2312" w:eastAsia="仿宋_GB2312" w:cs="仿宋_GB2312"/>
          <w:sz w:val="32"/>
          <w:szCs w:val="32"/>
          <w:lang w:val="en-US" w:eastAsia="zh-CN"/>
        </w:rPr>
        <w:t>开展市属文旅事业单位收入分配激励先行先试，以文化创意产品开发为切口，激发干事创业活力。推动博物馆、图书馆、文化馆、景区景点、公园等延时错时开放，做好夜间开放服务保障。优化餐饮等配套经营服务，满足群众多层次、多样化需求。</w:t>
      </w:r>
    </w:p>
    <w:p w14:paraId="65C46B29">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19.完善社会力量参与旅游业投资运营机制。</w:t>
      </w:r>
      <w:r>
        <w:rPr>
          <w:rFonts w:hint="eastAsia" w:ascii="仿宋_GB2312" w:hAnsi="仿宋_GB2312" w:eastAsia="仿宋_GB2312" w:cs="仿宋_GB2312"/>
          <w:sz w:val="32"/>
          <w:szCs w:val="32"/>
          <w:lang w:val="en-US" w:eastAsia="zh-CN"/>
        </w:rPr>
        <w:t>健全政府投资有效带动社会投资旅游业的体制机制，更大力度支持民营企业参与文旅项目建设。推动文化文物单位、按照事业单位管理的景区等与社会资本合作，共同开发文化创意产品、研学旅游产品。支持社会力量参与体育场馆运营，助力打造更多体育旅游、演艺旅游品牌活动。</w:t>
      </w:r>
    </w:p>
    <w:p w14:paraId="22517034">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20.持续优化旅游产业政策。</w:t>
      </w:r>
      <w:r>
        <w:rPr>
          <w:rFonts w:hint="eastAsia" w:ascii="仿宋_GB2312" w:hAnsi="仿宋_GB2312" w:eastAsia="仿宋_GB2312" w:cs="仿宋_GB2312"/>
          <w:sz w:val="32"/>
          <w:szCs w:val="32"/>
          <w:lang w:val="en-US" w:eastAsia="zh-CN"/>
        </w:rPr>
        <w:t>用好中央预算内资金、超长期国债、专项债、本市固定资产投资等各类政府资金，支持重点旅游景区基础设施项目建设和设备更新。统筹用好财政资金，优化旅游资金支出结构和支持方式，加大对重点项目支持力度。将旅游业作为“两业”融合试点示范行业，探索先进制造业和现代服务业融合发展新模式。</w:t>
      </w:r>
    </w:p>
    <w:p w14:paraId="114F67F5">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（六）持续优化服务环境，提升文体旅融合展现新形象</w:t>
      </w:r>
    </w:p>
    <w:p w14:paraId="6575D2C6">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i w:val="0"/>
          <w:iCs w:val="0"/>
          <w:sz w:val="32"/>
          <w:szCs w:val="32"/>
          <w:lang w:val="en-US" w:eastAsia="zh-CN"/>
        </w:rPr>
        <w:t>21.塑造城市品牌形象。</w:t>
      </w:r>
      <w:r>
        <w:rPr>
          <w:rFonts w:hint="eastAsia" w:ascii="仿宋_GB2312" w:hAnsi="仿宋_GB2312" w:eastAsia="仿宋_GB2312" w:cs="仿宋_GB2312"/>
          <w:sz w:val="32"/>
          <w:szCs w:val="32"/>
          <w:lang w:val="en-US" w:eastAsia="zh-CN"/>
        </w:rPr>
        <w:t>打造涵盖旅游目的地、节庆、企业、产品、美食等全方位立体化品牌矩阵，制定长期推广计划。针对本溪国际枫叶节等重要活动，成立专门的活动策划与执行小组，创新活动形式与内容。通过邀请国内外媒体参与报道、举办线上线下互动活动等方式，扩大传播范围，全面提升活动影响力。​</w:t>
      </w:r>
    </w:p>
    <w:p w14:paraId="316F1E73">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22.开展多元市场营销。</w:t>
      </w:r>
      <w:r>
        <w:rPr>
          <w:rFonts w:hint="eastAsia" w:ascii="仿宋_GB2312" w:hAnsi="仿宋_GB2312" w:eastAsia="仿宋_GB2312" w:cs="仿宋_GB2312"/>
          <w:sz w:val="32"/>
          <w:szCs w:val="32"/>
          <w:lang w:val="en-US" w:eastAsia="zh-CN"/>
        </w:rPr>
        <w:t xml:space="preserve">深耕本地及周边市场，通过OTA平台、官方自媒体账号等渠道进行广泛宣传。与沈阳都市圈城市文旅部门合作，整合都市圈旅游资源，实现互联互通。针对京津冀、长三角等重点客源区域，制定精准推介方案。组织专业的营销团队，在高铁沿线城市举办文旅推介会、路演活动等。 </w:t>
      </w:r>
    </w:p>
    <w:p w14:paraId="101D3DEA">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23.打造优质住宿产品。</w:t>
      </w:r>
      <w:r>
        <w:rPr>
          <w:rFonts w:hint="eastAsia" w:ascii="仿宋_GB2312" w:hAnsi="仿宋_GB2312" w:eastAsia="仿宋_GB2312" w:cs="仿宋_GB2312"/>
          <w:sz w:val="32"/>
          <w:szCs w:val="32"/>
          <w:lang w:val="en-US" w:eastAsia="zh-CN"/>
        </w:rPr>
        <w:t>培育温泉民宿、森林木屋等一批特色住宿产品。引进知名酒店管理集团，推动高星级酒店建设，提升住宿服务品质。联合专业设计团队，对闲置老厂房进行改造，融入钢铁工业文化元素，打造“钢铁记忆”特色主题酒店，形成差异化竞争优势。</w:t>
      </w:r>
    </w:p>
    <w:p w14:paraId="626DC644">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24.提升道路交通保障能力。</w:t>
      </w:r>
      <w:r>
        <w:rPr>
          <w:rFonts w:hint="eastAsia" w:ascii="仿宋_GB2312" w:hAnsi="仿宋_GB2312" w:eastAsia="仿宋_GB2312" w:cs="仿宋_GB2312"/>
          <w:sz w:val="32"/>
          <w:szCs w:val="32"/>
          <w:lang w:val="en-US" w:eastAsia="zh-CN"/>
        </w:rPr>
        <w:t>对全市交通网络进行优化布局，开通本溪水洞、五女山等重点景区旅游直通车，合理规划线路与运营时间，保障游客便捷出行。推动景区间公交专线无缝衔接，增设景区接驳巴士，提高景区间的通达性。自驾服务体系建设方面，在本桓公路（中华枫叶之路）沿途增设房车营地、充电桩设施，打造自驾游驿站，为自驾游客提供全方位服务。​</w:t>
      </w:r>
    </w:p>
    <w:p w14:paraId="373A9A98">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25.构建配套服务体系。</w:t>
      </w:r>
      <w:r>
        <w:rPr>
          <w:rFonts w:hint="eastAsia" w:ascii="仿宋_GB2312" w:hAnsi="仿宋_GB2312" w:eastAsia="仿宋_GB2312" w:cs="仿宋_GB2312"/>
          <w:sz w:val="32"/>
          <w:szCs w:val="32"/>
          <w:lang w:val="en-US" w:eastAsia="zh-CN"/>
        </w:rPr>
        <w:t>科学规划旅游驿站、旅游厕所、自驾车旅居车营地等公共服务设施布局。引入专业运营团队，提升餐饮、消费、加油充电等综合服务功能。指导景区优化标识系统，优化旅游集散、咨询、寄存等公共服务平台功能，强化文体旅赛事、活动、场所咨询服务，通过线上线下相结合的方式，为游客提供精准服务。​</w:t>
      </w:r>
    </w:p>
    <w:p w14:paraId="32ADDBC8">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26.持续净化市场环境。</w:t>
      </w:r>
      <w:r>
        <w:rPr>
          <w:rFonts w:hint="eastAsia" w:ascii="仿宋_GB2312" w:hAnsi="仿宋_GB2312" w:eastAsia="仿宋_GB2312" w:cs="仿宋_GB2312"/>
          <w:sz w:val="32"/>
          <w:szCs w:val="32"/>
          <w:lang w:val="en-US" w:eastAsia="zh-CN"/>
        </w:rPr>
        <w:t>完善旅游市场一体化综合监管体系，建立健全文体旅企业“信用+监管”分级分类管理机制，全面加强文体旅行业从业人员管理，定期开展培训与考核。严厉打击“非法倒票”等行为，维护市场秩序。健全文体旅舆情监测机制，设立投诉快速响应小组，畅通投诉举报渠道。业务主管单位和行业管理部门指导相关行业协会发挥行业自律管理作用，制定行业自律公约，倡导文明、健康、绿色旅游新风尚。抓好重点场所、特种设备、高风险项目等安全监管，提高应急处置能力。​</w:t>
      </w:r>
    </w:p>
    <w:p w14:paraId="3E8BD675">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27.强化智慧化服务水平。</w:t>
      </w:r>
      <w:r>
        <w:rPr>
          <w:rFonts w:hint="eastAsia" w:ascii="仿宋_GB2312" w:hAnsi="仿宋_GB2312" w:eastAsia="仿宋_GB2312" w:cs="仿宋_GB2312"/>
          <w:sz w:val="32"/>
          <w:szCs w:val="32"/>
          <w:lang w:val="en-US" w:eastAsia="zh-CN"/>
        </w:rPr>
        <w:t>高质量建设智慧文体旅平台，运用大数据技术实时监测、分析行业运行动态，实现市、区、点三位一体的统一指挥和应急调度。鼓励各热门景区、场馆和对外开放单位运用人工智能技术提供服务，探索建立全市重点景区、热门赛事活动统一预约购票服务平台，优化游客购票体验。</w:t>
      </w:r>
    </w:p>
    <w:p w14:paraId="698711E8">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三、保障措施</w:t>
      </w:r>
    </w:p>
    <w:p w14:paraId="0D53D63A">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组织保障。强化工作专班职能，统筹协调全市文体旅深度融合高质量发展工作。明确部门职责分工，细化各部门在文体旅融合发展中的职责。专班定期召开协调会议，研究解决工作推进中的重大问题，确保各项任务有序推进。</w:t>
      </w:r>
    </w:p>
    <w:p w14:paraId="40E3CAB8">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资金保障。加强文体旅产业发展资金引领作用，吸引更多社会资本投入到文体旅项目建设中。拓宽融资渠道，鼓励金融机构创新金融产品和服务，加大对文体旅企业的信贷支持力度。积极争取上级资金，用于文体旅基础设施建设、旅游景区开发等项目。</w:t>
      </w:r>
    </w:p>
    <w:p w14:paraId="7E499BE3">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人才保障。依托“本溪英才计划”，吸引文化创意人才、旅游规划人才、体育产业人才等高端人才到我市工作。建立人才激励机制，在职称评定、薪酬待遇、职业发展等方面给予政策倾斜，充分调动人才的积极性和创造性，营造良好的人才发展环境。</w:t>
      </w:r>
    </w:p>
    <w:p w14:paraId="3B605F71">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四</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强化</w:t>
      </w:r>
      <w:r>
        <w:rPr>
          <w:rFonts w:hint="eastAsia" w:ascii="仿宋_GB2312" w:hAnsi="仿宋_GB2312" w:eastAsia="仿宋_GB2312" w:cs="仿宋_GB2312"/>
          <w:sz w:val="32"/>
          <w:szCs w:val="32"/>
        </w:rPr>
        <w:t>督查。各地区、各有关部门要根据本</w:t>
      </w:r>
      <w:r>
        <w:rPr>
          <w:rFonts w:hint="eastAsia" w:ascii="仿宋_GB2312" w:hAnsi="仿宋_GB2312" w:eastAsia="仿宋_GB2312" w:cs="仿宋_GB2312"/>
          <w:sz w:val="32"/>
          <w:szCs w:val="32"/>
          <w:lang w:val="en-US" w:eastAsia="zh-CN"/>
        </w:rPr>
        <w:t>行动方案</w:t>
      </w:r>
      <w:r>
        <w:rPr>
          <w:rFonts w:hint="eastAsia" w:ascii="仿宋_GB2312" w:hAnsi="仿宋_GB2312" w:eastAsia="仿宋_GB2312" w:cs="仿宋_GB2312"/>
          <w:sz w:val="32"/>
          <w:szCs w:val="32"/>
        </w:rPr>
        <w:t>要求，结合实际情况，抓紧制定具体实施意见和配套</w:t>
      </w:r>
      <w:r>
        <w:rPr>
          <w:rFonts w:hint="eastAsia" w:ascii="仿宋_GB2312" w:hAnsi="仿宋_GB2312" w:eastAsia="仿宋_GB2312" w:cs="仿宋_GB2312"/>
          <w:sz w:val="32"/>
          <w:szCs w:val="32"/>
          <w:lang w:eastAsia="zh-CN"/>
        </w:rPr>
        <w:t>措施</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文旅部门</w:t>
      </w:r>
      <w:r>
        <w:rPr>
          <w:rFonts w:hint="eastAsia" w:ascii="仿宋_GB2312" w:hAnsi="仿宋_GB2312" w:eastAsia="仿宋_GB2312" w:cs="仿宋_GB2312"/>
          <w:sz w:val="32"/>
          <w:szCs w:val="32"/>
        </w:rPr>
        <w:t>要会同有关部门对落实本意见的情况进行监督检查和跟踪分析，重大事项及时向</w:t>
      </w:r>
      <w:r>
        <w:rPr>
          <w:rFonts w:hint="eastAsia" w:ascii="仿宋_GB2312" w:hAnsi="仿宋_GB2312" w:eastAsia="仿宋_GB2312" w:cs="仿宋_GB2312"/>
          <w:sz w:val="32"/>
          <w:szCs w:val="32"/>
          <w:lang w:val="en-US" w:eastAsia="zh-CN"/>
        </w:rPr>
        <w:t>市政府</w:t>
      </w:r>
      <w:r>
        <w:rPr>
          <w:rFonts w:hint="eastAsia" w:ascii="仿宋_GB2312" w:hAnsi="仿宋_GB2312" w:eastAsia="仿宋_GB2312" w:cs="仿宋_GB2312"/>
          <w:sz w:val="32"/>
          <w:szCs w:val="32"/>
        </w:rPr>
        <w:t>报告。</w:t>
      </w:r>
      <w:bookmarkStart w:id="0" w:name="_GoBack"/>
      <w:bookmarkEnd w:id="0"/>
    </w:p>
    <w:sectPr>
      <w:footerReference r:id="rId3" w:type="default"/>
      <w:pgSz w:w="11906" w:h="16838"/>
      <w:pgMar w:top="2098" w:right="1474" w:bottom="1984" w:left="1587"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B0503020204020204"/>
    <w:charset w:val="86"/>
    <w:family w:val="auto"/>
    <w:pitch w:val="default"/>
    <w:sig w:usb0="80000287" w:usb1="2ACF3C50" w:usb2="00000016" w:usb3="00000000" w:csb0="0004001F"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Times New Roman"/>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楷体_GB2312">
    <w:panose1 w:val="02010609030101010101"/>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DejaVu Math TeX Gyre">
    <w:panose1 w:val="02000503000000000000"/>
    <w:charset w:val="00"/>
    <w:family w:val="auto"/>
    <w:pitch w:val="default"/>
    <w:sig w:usb0="A10000EF" w:usb1="4201F9EE" w:usb2="02000000" w:usb3="00000000" w:csb0="60000193" w:csb1="0DD4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503E7B">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F74CDAB">
                          <w:pPr>
                            <w:pStyle w:val="2"/>
                          </w:pP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  \* MERGEFORMAT </w:instrText>
                          </w:r>
                          <w:r>
                            <w:rPr>
                              <w:rFonts w:hint="eastAsia" w:ascii="仿宋" w:hAnsi="仿宋" w:eastAsia="仿宋" w:cs="仿宋"/>
                              <w:sz w:val="28"/>
                              <w:szCs w:val="28"/>
                            </w:rPr>
                            <w:fldChar w:fldCharType="separate"/>
                          </w:r>
                          <w:r>
                            <w:rPr>
                              <w:rFonts w:hint="eastAsia" w:ascii="仿宋" w:hAnsi="仿宋" w:eastAsia="仿宋" w:cs="仿宋"/>
                              <w:sz w:val="28"/>
                              <w:szCs w:val="28"/>
                            </w:rPr>
                            <w:t>1</w:t>
                          </w:r>
                          <w:r>
                            <w:rPr>
                              <w:rFonts w:hint="eastAsia" w:ascii="仿宋" w:hAnsi="仿宋" w:eastAsia="仿宋" w:cs="仿宋"/>
                              <w:sz w:val="28"/>
                              <w:szCs w:val="2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14:paraId="7F74CDAB">
                    <w:pPr>
                      <w:pStyle w:val="2"/>
                    </w:pP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  \* MERGEFORMAT </w:instrText>
                    </w:r>
                    <w:r>
                      <w:rPr>
                        <w:rFonts w:hint="eastAsia" w:ascii="仿宋" w:hAnsi="仿宋" w:eastAsia="仿宋" w:cs="仿宋"/>
                        <w:sz w:val="28"/>
                        <w:szCs w:val="28"/>
                      </w:rPr>
                      <w:fldChar w:fldCharType="separate"/>
                    </w:r>
                    <w:r>
                      <w:rPr>
                        <w:rFonts w:hint="eastAsia" w:ascii="仿宋" w:hAnsi="仿宋" w:eastAsia="仿宋" w:cs="仿宋"/>
                        <w:sz w:val="28"/>
                        <w:szCs w:val="28"/>
                      </w:rPr>
                      <w:t>1</w:t>
                    </w:r>
                    <w:r>
                      <w:rPr>
                        <w:rFonts w:hint="eastAsia" w:ascii="仿宋" w:hAnsi="仿宋" w:eastAsia="仿宋" w:cs="仿宋"/>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Q1Zjg5NmQzMGY0NmI1YTIxMzUxMGE3ZjhhYmMzOTUifQ=="/>
  </w:docVars>
  <w:rsids>
    <w:rsidRoot w:val="31C20FDF"/>
    <w:rsid w:val="11DD5789"/>
    <w:rsid w:val="19EF52C5"/>
    <w:rsid w:val="1C5D1F3A"/>
    <w:rsid w:val="1FEF49C4"/>
    <w:rsid w:val="25D9143B"/>
    <w:rsid w:val="2DBFA58F"/>
    <w:rsid w:val="2FE84C3E"/>
    <w:rsid w:val="31C20FDF"/>
    <w:rsid w:val="36F7E7E5"/>
    <w:rsid w:val="3B7EFB57"/>
    <w:rsid w:val="3F653FA3"/>
    <w:rsid w:val="3F9FFCB2"/>
    <w:rsid w:val="3FBF97BB"/>
    <w:rsid w:val="4DDB2783"/>
    <w:rsid w:val="4FDE8BAB"/>
    <w:rsid w:val="51264CA8"/>
    <w:rsid w:val="5C6F291C"/>
    <w:rsid w:val="5EFD11EF"/>
    <w:rsid w:val="5FDFC84F"/>
    <w:rsid w:val="6377F1B7"/>
    <w:rsid w:val="64812637"/>
    <w:rsid w:val="67AFE56E"/>
    <w:rsid w:val="67FDB9AC"/>
    <w:rsid w:val="6AFD012F"/>
    <w:rsid w:val="6BA69362"/>
    <w:rsid w:val="6BAC9830"/>
    <w:rsid w:val="6D3F016A"/>
    <w:rsid w:val="6F3B4A33"/>
    <w:rsid w:val="6FFBD707"/>
    <w:rsid w:val="73A4D0AE"/>
    <w:rsid w:val="74EF7415"/>
    <w:rsid w:val="77FF394E"/>
    <w:rsid w:val="78B7BD2A"/>
    <w:rsid w:val="7A7DB279"/>
    <w:rsid w:val="7BBD49FB"/>
    <w:rsid w:val="7BFB184F"/>
    <w:rsid w:val="7D792533"/>
    <w:rsid w:val="7D7C6BF1"/>
    <w:rsid w:val="7D7EC8DD"/>
    <w:rsid w:val="7DED0EF1"/>
    <w:rsid w:val="7E3744D2"/>
    <w:rsid w:val="7E66DFAA"/>
    <w:rsid w:val="7F9DBB53"/>
    <w:rsid w:val="7F9FD31B"/>
    <w:rsid w:val="7FDFB43F"/>
    <w:rsid w:val="7FE77C44"/>
    <w:rsid w:val="7FFB389D"/>
    <w:rsid w:val="8EB6AF4A"/>
    <w:rsid w:val="9DBF8324"/>
    <w:rsid w:val="9EFCB117"/>
    <w:rsid w:val="9F7D6947"/>
    <w:rsid w:val="A879392C"/>
    <w:rsid w:val="AD7F1D48"/>
    <w:rsid w:val="AF77B5F1"/>
    <w:rsid w:val="B274CEB8"/>
    <w:rsid w:val="B2BA1556"/>
    <w:rsid w:val="B571652E"/>
    <w:rsid w:val="B61F0A20"/>
    <w:rsid w:val="BBFFFE69"/>
    <w:rsid w:val="BD9F5B68"/>
    <w:rsid w:val="BD9FC9A5"/>
    <w:rsid w:val="BDFFAF74"/>
    <w:rsid w:val="BFD77F96"/>
    <w:rsid w:val="BFE7A2F1"/>
    <w:rsid w:val="D67E93E7"/>
    <w:rsid w:val="DED7AA3A"/>
    <w:rsid w:val="DFE7EC18"/>
    <w:rsid w:val="E7AA4B95"/>
    <w:rsid w:val="EEE91BC2"/>
    <w:rsid w:val="EF3EC922"/>
    <w:rsid w:val="F4AF747C"/>
    <w:rsid w:val="F53B6949"/>
    <w:rsid w:val="F67FC519"/>
    <w:rsid w:val="F7EF3326"/>
    <w:rsid w:val="FAFBCE0B"/>
    <w:rsid w:val="FDE14199"/>
    <w:rsid w:val="FDFAAD67"/>
    <w:rsid w:val="FFBF2CED"/>
    <w:rsid w:val="FFDF0EF8"/>
    <w:rsid w:val="FFE93B5C"/>
    <w:rsid w:val="FFEF5709"/>
    <w:rsid w:val="FFFF15E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2"/>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footer"/>
    <w:basedOn w:val="1"/>
    <w:unhideWhenUsed/>
    <w:qFormat/>
    <w:uiPriority w:val="99"/>
    <w:pPr>
      <w:tabs>
        <w:tab w:val="center" w:pos="4153"/>
        <w:tab w:val="right" w:pos="8306"/>
      </w:tabs>
      <w:snapToGrid w:val="0"/>
      <w:jc w:val="left"/>
    </w:pPr>
    <w:rPr>
      <w:sz w:val="18"/>
      <w:szCs w:val="18"/>
    </w:rPr>
  </w:style>
  <w:style w:type="paragraph" w:styleId="3">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4">
    <w:name w:val="Normal (Web)"/>
    <w:basedOn w:val="1"/>
    <w:qFormat/>
    <w:uiPriority w:val="0"/>
    <w:pPr>
      <w:spacing w:before="100" w:beforeAutospacing="1" w:after="100" w:afterAutospacing="1"/>
      <w:jc w:val="left"/>
    </w:pPr>
    <w:rPr>
      <w:rFonts w:cs="Times New Roman"/>
      <w:kern w:val="0"/>
      <w:sz w:val="24"/>
      <w:szCs w:val="24"/>
    </w:rPr>
  </w:style>
  <w:style w:type="paragraph" w:styleId="5">
    <w:name w:val="Body Text First Indent 2"/>
    <w:unhideWhenUsed/>
    <w:qFormat/>
    <w:uiPriority w:val="99"/>
    <w:pPr>
      <w:widowControl w:val="0"/>
      <w:spacing w:after="120"/>
      <w:ind w:left="420" w:leftChars="200" w:firstLine="420" w:firstLineChars="200"/>
      <w:jc w:val="both"/>
    </w:pPr>
    <w:rPr>
      <w:rFonts w:ascii="Calibri" w:hAnsi="Calibri" w:eastAsia="宋体" w:cs="Times New Roman"/>
      <w:kern w:val="2"/>
      <w:sz w:val="21"/>
      <w:szCs w:val="22"/>
      <w:lang w:val="en-US" w:eastAsia="zh-CN" w:bidi="ar-SA"/>
    </w:rPr>
  </w:style>
  <w:style w:type="character" w:styleId="8">
    <w:name w:val="Strong"/>
    <w:basedOn w:val="7"/>
    <w:qFormat/>
    <w:uiPriority w:val="0"/>
    <w:rPr>
      <w:b/>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5224</Words>
  <Characters>5284</Characters>
  <Lines>0</Lines>
  <Paragraphs>0</Paragraphs>
  <TotalTime>260</TotalTime>
  <ScaleCrop>false</ScaleCrop>
  <LinksUpToDate>false</LinksUpToDate>
  <CharactersWithSpaces>5291</CharactersWithSpaces>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2023-10-19T05:38:00Z</dcterms:created>
  <dc:creator>俊影明月</dc:creator>
  <cp:lastModifiedBy>盖盖</cp:lastModifiedBy>
  <cp:lastPrinted>2025-07-24T09:51:00Z</cp:lastPrinted>
  <dcterms:modified xsi:type="dcterms:W3CDTF">2025-08-01T14:52:25Z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ICV">
    <vt:lpwstr>40BC7D0D16C1B72B62598C68194FA3E2_43</vt:lpwstr>
  </property>
  <property fmtid="{D5CDD505-2E9C-101B-9397-08002B2CF9AE}" pid="4" name="KSOTemplateDocerSaveRecord">
    <vt:lpwstr>eyJoZGlkIjoiNjExOGEzODk0MDNjN2I2YjdhMmRlNjdkODQ5MDRhZGMiLCJ1c2VySWQiOiIzMDc1NTI5ODEifQ==</vt:lpwstr>
  </property>
</Properties>
</file>